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15.03.2022 N 168н</w:t>
              <w:br/>
              <w:t xml:space="preserve">(ред. от 28.02.2024)</w:t>
              <w:br/>
              <w:t xml:space="preserve">"Об утверждении порядка проведения диспансерного наблюдения за взрослыми"</w:t>
              <w:br/>
              <w:t xml:space="preserve">(Зарегистрировано в Минюсте России 21.04.2022 N 68288)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апреля 2022 г. N 68288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марта 2022 г. N 168н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ДИСПАНСЕРНОГО НАБЛЮДЕНИЯ ЗА ВЗРОСЛЫМИ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7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1" w:tooltip="ПОРЯДОК ПРОВЕДЕНИЯ ДИСПАНСЕРНОГО НАБЛЮДЕНИЯ ЗА ВЗРОСЛЫМИ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диспансерного наблюдения за взрослыми.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здрава России от 29.03.2019 N 173н &quot;Об утверждении порядка проведения диспансерного наблюдения за взрослыми&quot; (Зарегистрировано в Минюсте России 25.04.2019 N 5451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 ПРОВЕДЕНИЯ ДИСПАНСЕРНОГО НАБЛЮДЕНИЯ ЗА ВЗРОСЛЫМИ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5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риказ Минздрава России от 27.04.2021 N 404н (ред. от 28.09.2023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4. Диспансерное наблюдение устанавливается в течение 3-х рабочих дней после: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установления диагноза при оказании медицинской помощи в амбулаторных условиях;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охват диспансерным наблюдением лиц старше трудоспособного возраста, из числа подлежащих ему, не менее 90%;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установление диспансерного наблюдения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сроки, указанные в </w:t>
      </w:r>
      <w:hyperlink w:history="0" w:anchor="P46" w:tooltip="4. Диспансерное наблюдение устанавливается в течение 3-х рабочих дней после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достижение целевых значений показателей состояния здоровья в соответствии с клиническими рекомендациями;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сокращение числа обращений по поводу обострений хронических заболеваний среди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уменьшение числа случаев и количества дней временной нетрудоспособности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снижение показателей смертности, в том числе внебольничной смертности, лиц, находящихся под диспансерным наблюдением.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врачи-специалисты (по отдельным заболеваниям или состояниям (группам заболеваний или 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врач по медицинской профилактике (фельдшер) отделения (кабинета) медицинской профилактики или центра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w:history="0" r:id="rId13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Работодатель вправе организовать диспансерное наблюдение в отношении работников, а работающие застрахованные лица вправе пройти диспансерное наблюдение по месту работы в соответствии с программой государственных гарантий бесплатного оказания гражданам медицинской помощи на соответствующий год и плановый период &lt;3(1)&gt;.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&lt;3(1)&gt; </w:t>
      </w:r>
      <w:hyperlink w:history="0" r:id="rId15" w:tooltip="Постановление Правительства РФ от 28.12.2023 N 2353 (ред. от 23.03.2024) &quot;О Программе государственных гарантий бесплатного оказания гражданам медицинской помощи на 2024 год и на плановый период 2025 и 2026 годов&quot; {КонсультантПлюс}">
        <w:r>
          <w:rPr>
            <w:sz w:val="20"/>
            <w:color w:val="0000ff"/>
          </w:rPr>
          <w:t xml:space="preserve">Раздел IV</w:t>
        </w:r>
      </w:hyperlink>
      <w:r>
        <w:rPr>
          <w:sz w:val="20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N 2353.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6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формирование списков лиц, подлежащих диспансерному наблюдению в отчетном году, их поквартальное распределение;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history="0" w:anchor="P135" w:tooltip="ПЕРЕЧЕНЬ">
        <w:r>
          <w:rPr>
            <w:sz w:val="20"/>
            <w:color w:val="0000ff"/>
          </w:rPr>
          <w:t xml:space="preserve">приложениях N 1</w:t>
        </w:r>
      </w:hyperlink>
      <w:r>
        <w:rPr>
          <w:sz w:val="20"/>
        </w:rPr>
        <w:t xml:space="preserve"> - </w:t>
      </w:r>
      <w:hyperlink w:history="0" w:anchor="P780" w:tooltip="ПЕРЕЧЕНЬ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Медицинский работник, указанный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при проведении диспансерного наблюдения: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устанавливает группу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ведет учет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информирует о порядке, объеме и периодичности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осуществляет при необходимости дистанционное наблюдение за пациентами в соответствии с </w:t>
      </w:r>
      <w:hyperlink w:history="0" r:id="rId17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оказания медицинской помощи с применением телемедицинских технологий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Утвержден </w:t>
      </w:r>
      <w:hyperlink w:history="0" r:id="rId18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Диспансерный прием (осмотр, консультация)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установление или уточнение диагноза заболевания (состояния);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Сведения о диспансерном наблюдении вносятся в медицинскую документацию пациента, а также в учетную </w:t>
      </w:r>
      <w:hyperlink w:history="0" r:id="rId1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форму N 030/у</w:t>
        </w:r>
      </w:hyperlink>
      <w:r>
        <w:rPr>
          <w:sz w:val="20"/>
        </w:rP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Утверждена </w:t>
      </w:r>
      <w:hyperlink w:history="0" r:id="rId2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Медицинская организация, осуществляющая диспансерное наблюдение граждан, обеспечивает посредством информационных систем в сфере здравоохранения &lt;6&gt;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работающего застрахованного лица.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3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&lt;7&gt;,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&lt;8&gt; и иных информационных систем, предусмотренных </w:t>
      </w:r>
      <w:hyperlink w:history="0" r:id="rId24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5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6" w:tooltip="Постановление Правительства РФ от 09.02.2022 N 140 (ред. от 30.11.2022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09.02.2022 N 140 "О единой государственной информационной системе в сфере здравоохранения".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7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Постановление Правительства РФ от 24.10.2011 N 861 (ред. от 18.07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9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Медицинская организация, осуществляющая диспансерное наблюдение работающего застрахованного лица,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контрольной карте.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Медицинский работник, указанный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135" w:name="P135"/>
    <w:bookmarkEnd w:id="13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ВРАЧОМ-ТЕРАПЕВТОМ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3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487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488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489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490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491" w:tooltip="&lt;5&gt; Далее - ХС-ЛПНП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492" w:tooltip="&lt;6&gt; Далее - ЭКГ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493" w:tooltip="&lt;7&gt; Далее - Эхо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раза в год)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494" w:tooltip="&lt;8&gt; Далее - МНО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- после перенесенного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- при стенокардии напряжения I - II функционального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ангиопластического имплантата и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[Гиса];</w:t>
            </w:r>
          </w:p>
          <w:p>
            <w:pPr>
              <w:pStyle w:val="0"/>
            </w:pPr>
            <w:r>
              <w:rPr>
                <w:sz w:val="20"/>
              </w:rPr>
              <w:t xml:space="preserve">другие нарушения проводимости;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остановка сердца;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пароксизмальная тахикардия;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предсердной экстрасистолии, желудочковой экстрасистолии, наджелудочковой тахикардии, желудочковой тахикардии на фоне эффективной антиаритмической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снижения уровня эритроцитов, гемоглобина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триглицеридов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креатинкиназы </w:t>
            </w:r>
            <w:hyperlink w:history="0" w:anchor="P495" w:tooltip="&lt;9&gt; Далее - КФК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R73.0, R73.9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Предиабет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натощак и через 2 часа после нагрузки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Инсулиннезависимый сахарный 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ХС-ЛПНП, гликированный гемоглобин,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I69.0 - I69.4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крови (натощак);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КФК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врача-невролога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поражения сосудов мозга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Эзофагит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рецидивов эрозивного процесса по данным эзофагогастродуоденоскопии </w:t>
            </w:r>
            <w:hyperlink w:history="0" w:anchor="P496" w:tooltip="&lt;10&gt; Далее - ЭГДС.">
              <w:r>
                <w:rPr>
                  <w:sz w:val="20"/>
                  <w:color w:val="0000ff"/>
                </w:rPr>
                <w:t xml:space="preserve">&lt;10&gt;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Гастроэзофагеальный рефлюкс с эзофагитом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(без цилиндроклеточной метаплазии - без пищевода Баррета) - отсутствие рецидивов эрозивного процесса по данным ЭГДС;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K86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белково-энергетической недостаточности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J41.0, J41.1, J41.8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Рецидивирующий и хронический бронхиты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функция внешнего дыхания </w:t>
            </w:r>
            <w:hyperlink w:history="0" w:anchor="P497" w:tooltip="&lt;11&gt; Далее - ФВД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уточненная хроническая обструктивная легочная болезнь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J47.0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Бронхоэктатическая болезнь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Достижение полного или частичного контроля 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врача-пульмонолога, врача-аллерголога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Неаллергическая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Смешанная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J12, J13, J14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пневмонии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J84.1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Интерстициальные заболевания легких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Хроническая болезнь почки неуточненная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Идиопатический остеопороз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атрофический гастрит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злокачественных новообразованиях </w:t>
            </w:r>
            <w:hyperlink w:history="0" w:anchor="P498" w:tooltip="&lt;12&gt; Далее - ЗНО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гастрит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Семейный полипоз толстой кишки, синдром Гартнера, синдром Пейца-Егерса, синдром Турко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Полипы желудка и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D12.8, K62.1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прямой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наличии: гиперпластического полипа - не реже 2 раз в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тубулярного полипа -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3х лет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Болезнь Крона (регионарный энтерит)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Язвенный колит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Непроходимость пищевода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Пищевод Барретта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K70.3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Алкогольный цирроз печени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ультразвукового исследования </w:t>
            </w:r>
            <w:hyperlink w:history="0" w:anchor="P499" w:tooltip="&lt;13&gt; Далее - УЗИ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 или компьютерной томографии </w:t>
            </w:r>
            <w:hyperlink w:history="0" w:anchor="P500" w:tooltip="&lt;14&gt; Далее - КТ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, или магнитно-резонансной томографии </w:t>
            </w:r>
            <w:hyperlink w:history="0" w:anchor="P501" w:tooltip="&lt;15&gt; Далее - МРТ.">
              <w:r>
                <w:rPr>
                  <w:sz w:val="20"/>
                  <w:color w:val="0000ff"/>
                </w:rPr>
                <w:t xml:space="preserve">&lt;15&gt;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502" w:tooltip="&lt;16&gt; Далее - АФП.">
              <w:r>
                <w:rPr>
                  <w:sz w:val="20"/>
                  <w:color w:val="0000ff"/>
                </w:rPr>
                <w:t xml:space="preserve">&lt;16&gt;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K74.3 - K74.6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Гепатоцеллюлярная аденома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УЗИ или КТ, или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АФП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удаления гепатоцеллюлярной аденомы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желчного пузыря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 или до оперативного удаления желчного пузыря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7" w:name="P487"/>
    <w:bookmarkEnd w:id="4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35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488" w:name="P488"/>
    <w:bookmarkEnd w:id="4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489" w:name="P489"/>
    <w:bookmarkEnd w:id="4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490" w:name="P490"/>
    <w:bookmarkEnd w:id="4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491" w:name="P491"/>
    <w:bookmarkEnd w:id="4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ХС-ЛПНП.</w:t>
      </w:r>
    </w:p>
    <w:bookmarkStart w:id="492" w:name="P492"/>
    <w:bookmarkEnd w:id="4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ЭКГ.</w:t>
      </w:r>
    </w:p>
    <w:bookmarkStart w:id="493" w:name="P493"/>
    <w:bookmarkEnd w:id="4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ЭхоКГ.</w:t>
      </w:r>
    </w:p>
    <w:bookmarkStart w:id="494" w:name="P494"/>
    <w:bookmarkEnd w:id="4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МНО.</w:t>
      </w:r>
    </w:p>
    <w:bookmarkStart w:id="495" w:name="P495"/>
    <w:bookmarkEnd w:id="4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КФК.</w:t>
      </w:r>
    </w:p>
    <w:bookmarkStart w:id="496" w:name="P496"/>
    <w:bookmarkEnd w:id="4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ЭГДС.</w:t>
      </w:r>
    </w:p>
    <w:bookmarkStart w:id="497" w:name="P497"/>
    <w:bookmarkEnd w:id="4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ФВД.</w:t>
      </w:r>
    </w:p>
    <w:bookmarkStart w:id="498" w:name="P498"/>
    <w:bookmarkEnd w:id="4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ЗНО.</w:t>
      </w:r>
    </w:p>
    <w:bookmarkStart w:id="499" w:name="P499"/>
    <w:bookmarkEnd w:id="4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УЗИ.</w:t>
      </w:r>
    </w:p>
    <w:bookmarkStart w:id="500" w:name="P500"/>
    <w:bookmarkEnd w:id="5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КТ.</w:t>
      </w:r>
    </w:p>
    <w:bookmarkStart w:id="501" w:name="P501"/>
    <w:bookmarkEnd w:id="5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Далее - МРТ.</w:t>
      </w:r>
    </w:p>
    <w:bookmarkStart w:id="502" w:name="P502"/>
    <w:bookmarkEnd w:id="5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Далее - АФП.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ВРАЧОМ-КАРДИОЛОГОМ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6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754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I05 - I09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Хронические ревматические болезни сердца</w:t>
            </w:r>
          </w:p>
        </w:tc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755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756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757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</w:t>
            </w:r>
            <w:hyperlink w:history="0" w:anchor="P758" w:tooltip="&lt;5&gt; Далее - СКФ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759" w:tooltip="&lt;6&gt; Далее - МНО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760" w:tooltip="&lt;7&gt; Далее - Э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761" w:tooltip="&lt;8&gt; Далее - ЭхоКГ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- диаметр аорты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пациентов с аневризмой грудной аорты (расширение любого отдела грудной аорты &gt; 40 мм) - компьютерная томографическая ангиография </w:t>
            </w:r>
            <w:hyperlink w:history="0" w:anchor="P762" w:tooltip="&lt;9&gt; Далее - КТ-ангиография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пороках сердца и крупных сосудов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Аневризма и расслоение аорты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протеза сердечного клапана, наличие ксеногенного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оценка домашнего мониторирования артериального давления и дневников с указанием доз принимаемых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763" w:tooltip="&lt;10&gt; Далее - ХС-ЛПНП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history="0" w:anchor="P764" w:tooltip="&lt;11&gt; Далее - ФК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ангиопластичного имплантата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Легочная эмболия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4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12 месяцев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Первичная легочная гипертензия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ЧСС, пульсоксиметрия в покое;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</w:t>
            </w:r>
            <w:hyperlink w:history="0" w:anchor="P765" w:tooltip="&lt;12&gt; Далее - NT-proBNP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 6-минутной ходьбы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болезни легочных сосудов с их соответствующим описанием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вторичная легочная гипертензия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формы легочно-сердечной недостаточности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и подострый эндокардит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history="0" w:anchor="P766" w:tooltip="&lt;13&gt; Далее - CРБ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перенесенном инфекционном эндокардите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I38 - I39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миокардит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год; ежемесячно - на фоне иммуносупрессивной терапии);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CРБ и NT-proBNP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I51.4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Кардиомиопатия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катетерная аблация по поводу сердечно-сосудистых заболеваний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NT-proBNP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history="0" w:anchor="P767" w:tooltip="&lt;14&gt; Далее - фракция выброса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 левого желудочка &lt; 40% и (или) III - IV функционального класса по классификации Нью-Йоркской ассоциации сердца (NYHA, 1964), 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 в сочетании с сахарным диабетом и (или) хронической болезнью почек 4 и 5 стадии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стеноз внутренней сонной артерии от 40% при сочетании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триглицериды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тяжелая дислипидемия (общий холестерин сыворотки &gt; 8,0 ммоль/л и (или) ХС-ЛПНП &gt; 5,0 ммоль/л и (или) триглицериды &gt; 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Q20 - Q28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ЭхоКГ (не реже 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кодах Q21.0, Q21.1, Q21.4 после оперативного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Пожизненно при других кодах в группе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54" w:name="P754"/>
    <w:bookmarkEnd w:id="7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38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755" w:name="P755"/>
    <w:bookmarkEnd w:id="7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756" w:name="P756"/>
    <w:bookmarkEnd w:id="7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757" w:name="P757"/>
    <w:bookmarkEnd w:id="7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758" w:name="P758"/>
    <w:bookmarkEnd w:id="7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СКФ.</w:t>
      </w:r>
    </w:p>
    <w:bookmarkStart w:id="759" w:name="P759"/>
    <w:bookmarkEnd w:id="7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МНО.</w:t>
      </w:r>
    </w:p>
    <w:bookmarkStart w:id="760" w:name="P760"/>
    <w:bookmarkEnd w:id="7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ЭКГ.</w:t>
      </w:r>
    </w:p>
    <w:bookmarkStart w:id="761" w:name="P761"/>
    <w:bookmarkEnd w:id="7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ЭхоКГ.</w:t>
      </w:r>
    </w:p>
    <w:bookmarkStart w:id="762" w:name="P762"/>
    <w:bookmarkEnd w:id="7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КТ-ангиография.</w:t>
      </w:r>
    </w:p>
    <w:bookmarkStart w:id="763" w:name="P763"/>
    <w:bookmarkEnd w:id="7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ХС-ЛПНП.</w:t>
      </w:r>
    </w:p>
    <w:bookmarkStart w:id="764" w:name="P764"/>
    <w:bookmarkEnd w:id="7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ФК.</w:t>
      </w:r>
    </w:p>
    <w:bookmarkStart w:id="765" w:name="P765"/>
    <w:bookmarkEnd w:id="7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NT-proBNP.</w:t>
      </w:r>
    </w:p>
    <w:bookmarkStart w:id="766" w:name="P766"/>
    <w:bookmarkEnd w:id="7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CРБ.</w:t>
      </w:r>
    </w:p>
    <w:bookmarkStart w:id="767" w:name="P767"/>
    <w:bookmarkEnd w:id="7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фракция выброса.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780" w:name="P780"/>
    <w:bookmarkEnd w:id="78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КОТОРЫЕ ПРЕДШЕСТВУЮТ РАЗВИТИЮ ЗЛОКАЧЕСТВЕННЫХ</w:t>
      </w:r>
    </w:p>
    <w:p>
      <w:pPr>
        <w:pStyle w:val="2"/>
        <w:jc w:val="center"/>
      </w:pPr>
      <w:r>
        <w:rPr>
          <w:sz w:val="20"/>
        </w:rPr>
        <w:t xml:space="preserve">НОВООБРАЗОВАНИЙ, ПРИ НАЛИЧИИ КОТОРЫХ УСТАНАВЛИВАЕТСЯ</w:t>
      </w:r>
    </w:p>
    <w:p>
      <w:pPr>
        <w:pStyle w:val="2"/>
        <w:jc w:val="center"/>
      </w:pPr>
      <w:r>
        <w:rPr>
          <w:sz w:val="20"/>
        </w:rPr>
        <w:t xml:space="preserve">ДИСПАНСЕРНОЕ НАБЛЮДЕНИЕ ЗА ВЗРОСЛЫМ</w:t>
      </w:r>
    </w:p>
    <w:p>
      <w:pPr>
        <w:pStyle w:val="2"/>
        <w:jc w:val="center"/>
      </w:pPr>
      <w:r>
        <w:rPr>
          <w:sz w:val="20"/>
        </w:rPr>
        <w:t xml:space="preserve">НАСЕЛЕНИЕМ ВРАЧАМИ-СПЕЦИАЛИСТАМИ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9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1279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врача-инфекциониста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B18.0 - B18.2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данным ультразвукового исследования </w:t>
            </w:r>
            <w:hyperlink w:history="0" w:anchor="P1280" w:tooltip="&lt;2&gt; Далее - УЗИ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или магнитно-резонансной томографии </w:t>
            </w:r>
            <w:hyperlink w:history="0" w:anchor="P1281" w:tooltip="&lt;3&gt; Далее - МРТ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1282" w:tooltip="&lt;4&gt; Далее - АФП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B20 - B24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Болезнь, вызванная вирусом иммунодефицита человека (ВИЧ)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У женщин при 3 стадии и количестве CD4+ клеток 200 и более на мкл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врача-эндокринолога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E34.8, D13.7, D35.0 - D35.2,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Множественный эндокринный аденоматоз,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глюкозы, инсулина, пролактина, 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 мочи;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паращитовидных желез, поджелудочной железы, надпочечников;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гипофиза, УЗИ шеи, УЗИ органов брюшной полости;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  <w:hyperlink w:history="0" w:anchor="P1283" w:tooltip="&lt;5&gt; Далее - ЗНО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(атипия клеток в пунктате)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III).</w:t>
            </w:r>
          </w:p>
          <w:p>
            <w:pPr>
              <w:pStyle w:val="0"/>
            </w:pPr>
            <w:r>
              <w:rPr>
                <w:sz w:val="20"/>
              </w:rPr>
              <w:t xml:space="preserve"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D44.8, D35.0, D35.1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Множественная эндокринная неоплазия: тип 2A (Синдром Сиппла);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 2B (Синдром Горлина)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ЗНО щитовидной железы, паращитовидных желез;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гормонов щитовидной железы (согласно клиническим рекомендациям) и паратиреоидного гормона;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крови, хромогранина A;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history="0" w:anchor="P1284" w:tooltip="&lt;6&gt; Далее - РЭА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хромогранина A, метанефринов и 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history="0" w:anchor="P1285" w:tooltip="&lt;7&gt; Далее - КТ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или МРТ надпочечников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АФП, бета хорионического гормона, </w:t>
            </w:r>
            <w:hyperlink w:history="0" w:anchor="P1286" w:tooltip="&lt;8&gt; Далее - ХГЧ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, уровень лактатдегидрогеназы крови </w:t>
            </w:r>
            <w:hyperlink w:history="0" w:anchor="P1287" w:tooltip="&lt;9&gt; Далее - ЛДГ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момента удаления гонад (при наличии показаний)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образований по данным УЗИ)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E22.0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Акромегалия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семейном полипозе толстой кишки - решение вопроса о выполнении профилактической колэктомии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одноузловой зоб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ткани/ложа щитовидной железы по данным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тиреотропного гормона в крови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в сыворотке крови при первичном обращении;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 с цитологическим или морфологическим исследованием;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 и/или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повышение кальцитонина крови у женщин более 10 пг/мл, у мужчин более 15 пг/мл.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многоузловой зоб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одноузловым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многоузловым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D35.1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Аденома паращитовидной железы.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паращитовидной железы при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кальция, (скорректированный на альбумин), фосфора, креатинина и паратгормона в сыворотке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сцинтиграфия с технецием [99mTc] сестамиби (по показаниям);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(по показаниям)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уровень общего кальция, скорректированного на альбумин &gt; 3 ммоль/л, размер опухоли &gt; 3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атипической аденомы по данным послеоперационного гистологического исследования.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Множественные аденомы паращитовидных желез (синдром МЭН1, МЭН2А и др.)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E21.0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Первичный гиперпаратиреоз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 надпочечника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калия, натрия, глюкозы.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проба с дексаметазоном 1 мг. (Нор) метанефрины в суточной моче или плазме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гормонально неактивных инциденталомах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размер опухоли &gt; 4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врача-невролога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Туберозный склероз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врача-хирурга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больших слюнных желез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 больших слюнных желез по данным осмотра 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врача-уролога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мочевого пузыря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мочеиспускательного канала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N48.0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полового члена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при физикальном осмотре с контролем размеров, структуры, толщины очага лейкоплакии;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Сложные кисты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Bosniak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Ангиомиолипома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Простатическая интраэпителиальная неоплазия простаты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физикального осмотра и УЗИ предстательной железы;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простатспецифического антигена </w:t>
            </w:r>
            <w:hyperlink w:history="0" w:anchor="P1288" w:tooltip="&lt;10&gt; Далее - ПСА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в сыворотке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врача-травматолога-ортопеда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M96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10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M88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Болезнь Педжета (костей) деформирующий остеит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Солитарные и множественные остеохондромы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Энхондроматоз (дисхондроплазия, болезнь Оллье).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врача-офтальмолога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D23.1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Доброкачественные новообразования кожи века, включая спайку век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врача-оториноларинголога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голосовой складки и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(увеличения размера полипа, изъязвления) по результатам осмотра врача-специалиста;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Папилломатоз, фиброматоз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трахеи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Инвертированная папиллома полости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хирургического лечения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Новообразование среднего уха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микроотоскопии, КТ или МРТ височных костей;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 и эндоскопического исследования;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частей ротоглотки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носоглотки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гортаноглотки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глотки неуточненной локализации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ларингит и ларинготрахеит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Фиброларингоскопии;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ринит, назофарингит, фарингит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врача-стоматолога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языка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дна полости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D10.3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неуточненных частей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Меланоз полости 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врача-дерматовенеролога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гигантские и крупные невусы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Невус Ядассона, синдром Горлина-Гольца, синдром Базекса, синдром Рембо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L57.1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Актинический кератоз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L82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Ксеродерма пигментная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врача-акушера-гинеколога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Полипы шейки матки и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 -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поликистоза яичников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половых гормонов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результатам УЗИ щитовидной железы, паращитовидных желез 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онкомаркеров CA-125 и HE-4 сыворотки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глюкозы по результатам перорального 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>
            <w:pPr>
              <w:pStyle w:val="0"/>
            </w:pPr>
            <w:r>
              <w:rPr>
                <w:sz w:val="20"/>
              </w:rPr>
              <w:t xml:space="preserve"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врача-эндокринолога для проведения перорального глюкозотолерантного теста при необходимости.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врача-дерматовенеролога при наличии жалоб на акне и выпадение волос.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врача-диетолога с целью модификации образа жизни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шейки матки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Железистая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Аденоматозная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сывороточного онкомаркера CA-125, HE4, ингибин B, ЛДГ, АФП, РЭА, ХГЧ;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(до излечения)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врача-онколога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осмотра, пальпации молочных желез, шейно-надключичных и подмышечных зон;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наступления менопаузы,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Доброкачественная дисплазия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60 лет,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79" w:name="P1279"/>
    <w:bookmarkEnd w:id="12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41" w:tooltip="&quot;Международная статистическая классификация болезней и проблем, связанных со здоровьем (10-й пересмотр) (МКБ-10) (версия 2.26 от 11.06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1280" w:name="P1280"/>
    <w:bookmarkEnd w:id="12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УЗИ.</w:t>
      </w:r>
    </w:p>
    <w:bookmarkStart w:id="1281" w:name="P1281"/>
    <w:bookmarkEnd w:id="12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МРТ.</w:t>
      </w:r>
    </w:p>
    <w:bookmarkStart w:id="1282" w:name="P1282"/>
    <w:bookmarkEnd w:id="1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АФП.</w:t>
      </w:r>
    </w:p>
    <w:bookmarkStart w:id="1283" w:name="P1283"/>
    <w:bookmarkEnd w:id="12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ЗНО.</w:t>
      </w:r>
    </w:p>
    <w:bookmarkStart w:id="1284" w:name="P1284"/>
    <w:bookmarkEnd w:id="12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РЭА.</w:t>
      </w:r>
    </w:p>
    <w:bookmarkStart w:id="1285" w:name="P1285"/>
    <w:bookmarkEnd w:id="12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КТ.</w:t>
      </w:r>
    </w:p>
    <w:bookmarkStart w:id="1286" w:name="P1286"/>
    <w:bookmarkEnd w:id="12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ХГЧ.</w:t>
      </w:r>
    </w:p>
    <w:bookmarkStart w:id="1287" w:name="P1287"/>
    <w:bookmarkEnd w:id="1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ЛДГ.</w:t>
      </w:r>
    </w:p>
    <w:bookmarkStart w:id="1288" w:name="P1288"/>
    <w:bookmarkEnd w:id="12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ПСА.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(ред. от 28.02.2024)</w:t>
            <w:br/>
            <w:t>"Об утверждении порядка проведения диспансерного наблю...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(ред. от 28.02.2024)</w:t>
            <w:br/>
            <w:t>"Об утверждении порядка проведения диспансерного наблю...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72700&amp;dst=100006" TargetMode = "External"/>
	<Relationship Id="rId8" Type="http://schemas.openxmlformats.org/officeDocument/2006/relationships/hyperlink" Target="https://login.consultant.ru/link/?req=doc&amp;base=RZB&amp;n=454998&amp;dst=187" TargetMode = "External"/>
	<Relationship Id="rId9" Type="http://schemas.openxmlformats.org/officeDocument/2006/relationships/hyperlink" Target="https://login.consultant.ru/link/?req=doc&amp;base=RZB&amp;n=323527" TargetMode = "External"/>
	<Relationship Id="rId10" Type="http://schemas.openxmlformats.org/officeDocument/2006/relationships/hyperlink" Target="https://login.consultant.ru/link/?req=doc&amp;base=RZB&amp;n=472700&amp;dst=100006" TargetMode = "External"/>
	<Relationship Id="rId11" Type="http://schemas.openxmlformats.org/officeDocument/2006/relationships/hyperlink" Target="https://login.consultant.ru/link/?req=doc&amp;base=RZB&amp;n=454998&amp;dst=186" TargetMode = "External"/>
	<Relationship Id="rId12" Type="http://schemas.openxmlformats.org/officeDocument/2006/relationships/hyperlink" Target="https://login.consultant.ru/link/?req=doc&amp;base=RZB&amp;n=459983&amp;dst=100029" TargetMode = "External"/>
	<Relationship Id="rId13" Type="http://schemas.openxmlformats.org/officeDocument/2006/relationships/hyperlink" Target="https://login.consultant.ru/link/?req=doc&amp;base=RZB&amp;n=287498&amp;dst=100009" TargetMode = "External"/>
	<Relationship Id="rId14" Type="http://schemas.openxmlformats.org/officeDocument/2006/relationships/hyperlink" Target="https://login.consultant.ru/link/?req=doc&amp;base=RZB&amp;n=472700&amp;dst=100011" TargetMode = "External"/>
	<Relationship Id="rId15" Type="http://schemas.openxmlformats.org/officeDocument/2006/relationships/hyperlink" Target="https://login.consultant.ru/link/?req=doc&amp;base=RZB&amp;n=472964&amp;dst=100179" TargetMode = "External"/>
	<Relationship Id="rId16" Type="http://schemas.openxmlformats.org/officeDocument/2006/relationships/hyperlink" Target="https://login.consultant.ru/link/?req=doc&amp;base=RZB&amp;n=472700&amp;dst=100013" TargetMode = "External"/>
	<Relationship Id="rId17" Type="http://schemas.openxmlformats.org/officeDocument/2006/relationships/hyperlink" Target="https://login.consultant.ru/link/?req=doc&amp;base=RZB&amp;n=287515&amp;dst=100009" TargetMode = "External"/>
	<Relationship Id="rId18" Type="http://schemas.openxmlformats.org/officeDocument/2006/relationships/hyperlink" Target="https://login.consultant.ru/link/?req=doc&amp;base=RZB&amp;n=287515" TargetMode = "External"/>
	<Relationship Id="rId19" Type="http://schemas.openxmlformats.org/officeDocument/2006/relationships/hyperlink" Target="https://login.consultant.ru/link/?req=doc&amp;base=RZB&amp;n=476883&amp;dst=100458" TargetMode = "External"/>
	<Relationship Id="rId20" Type="http://schemas.openxmlformats.org/officeDocument/2006/relationships/hyperlink" Target="https://login.consultant.ru/link/?req=doc&amp;base=RZB&amp;n=476883" TargetMode = "External"/>
	<Relationship Id="rId21" Type="http://schemas.openxmlformats.org/officeDocument/2006/relationships/hyperlink" Target="https://login.consultant.ru/link/?req=doc&amp;base=RZB&amp;n=472700&amp;dst=100015" TargetMode = "External"/>
	<Relationship Id="rId22" Type="http://schemas.openxmlformats.org/officeDocument/2006/relationships/hyperlink" Target="https://login.consultant.ru/link/?req=doc&amp;base=RZB&amp;n=454998&amp;dst=467" TargetMode = "External"/>
	<Relationship Id="rId23" Type="http://schemas.openxmlformats.org/officeDocument/2006/relationships/hyperlink" Target="https://login.consultant.ru/link/?req=doc&amp;base=RZB&amp;n=472700&amp;dst=100019" TargetMode = "External"/>
	<Relationship Id="rId24" Type="http://schemas.openxmlformats.org/officeDocument/2006/relationships/hyperlink" Target="https://login.consultant.ru/link/?req=doc&amp;base=RZB&amp;n=454998&amp;dst=249" TargetMode = "External"/>
	<Relationship Id="rId25" Type="http://schemas.openxmlformats.org/officeDocument/2006/relationships/hyperlink" Target="https://login.consultant.ru/link/?req=doc&amp;base=RZB&amp;n=472700&amp;dst=100017" TargetMode = "External"/>
	<Relationship Id="rId26" Type="http://schemas.openxmlformats.org/officeDocument/2006/relationships/hyperlink" Target="https://login.consultant.ru/link/?req=doc&amp;base=RZB&amp;n=439768" TargetMode = "External"/>
	<Relationship Id="rId27" Type="http://schemas.openxmlformats.org/officeDocument/2006/relationships/hyperlink" Target="https://login.consultant.ru/link/?req=doc&amp;base=RZB&amp;n=472700&amp;dst=100021" TargetMode = "External"/>
	<Relationship Id="rId28" Type="http://schemas.openxmlformats.org/officeDocument/2006/relationships/hyperlink" Target="https://login.consultant.ru/link/?req=doc&amp;base=RZB&amp;n=481187&amp;dst=100173" TargetMode = "External"/>
	<Relationship Id="rId29" Type="http://schemas.openxmlformats.org/officeDocument/2006/relationships/hyperlink" Target="https://login.consultant.ru/link/?req=doc&amp;base=RZB&amp;n=472700&amp;dst=100022" TargetMode = "External"/>
	<Relationship Id="rId30" Type="http://schemas.openxmlformats.org/officeDocument/2006/relationships/hyperlink" Target="https://login.consultant.ru/link/?req=doc&amp;base=RZB&amp;n=472700&amp;dst=100018" TargetMode = "External"/>
	<Relationship Id="rId31" Type="http://schemas.openxmlformats.org/officeDocument/2006/relationships/header" Target="header2.xml"/>
	<Relationship Id="rId32" Type="http://schemas.openxmlformats.org/officeDocument/2006/relationships/footer" Target="footer2.xml"/>
	<Relationship Id="rId33" Type="http://schemas.openxmlformats.org/officeDocument/2006/relationships/hyperlink" Target="https://login.consultant.ru/link/?req=doc&amp;base=EXPZ&amp;n=763941" TargetMode = "External"/>
	<Relationship Id="rId34" Type="http://schemas.openxmlformats.org/officeDocument/2006/relationships/image" Target="media/image2.wmf"/>
	<Relationship Id="rId35" Type="http://schemas.openxmlformats.org/officeDocument/2006/relationships/hyperlink" Target="https://login.consultant.ru/link/?req=doc&amp;base=EXPZ&amp;n=763941" TargetMode = "External"/>
	<Relationship Id="rId36" Type="http://schemas.openxmlformats.org/officeDocument/2006/relationships/hyperlink" Target="https://login.consultant.ru/link/?req=doc&amp;base=EXPZ&amp;n=763941" TargetMode = "External"/>
	<Relationship Id="rId37" Type="http://schemas.openxmlformats.org/officeDocument/2006/relationships/image" Target="media/image3.wmf"/>
	<Relationship Id="rId38" Type="http://schemas.openxmlformats.org/officeDocument/2006/relationships/hyperlink" Target="https://login.consultant.ru/link/?req=doc&amp;base=EXPZ&amp;n=763941" TargetMode = "External"/>
	<Relationship Id="rId39" Type="http://schemas.openxmlformats.org/officeDocument/2006/relationships/hyperlink" Target="https://login.consultant.ru/link/?req=doc&amp;base=EXPZ&amp;n=763941" TargetMode = "External"/>
	<Relationship Id="rId40" Type="http://schemas.openxmlformats.org/officeDocument/2006/relationships/image" Target="media/image4.wmf"/>
	<Relationship Id="rId41" Type="http://schemas.openxmlformats.org/officeDocument/2006/relationships/hyperlink" Target="https://login.consultant.ru/link/?req=doc&amp;base=EXPZ&amp;n=76394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15.03.2022 N 168н
(ред. от 28.02.2024)
"Об утверждении порядка проведения диспансерного наблюдения за взрослыми"
(Зарегистрировано в Минюсте России 21.04.2022 N 68288)</dc:title>
  <dcterms:created xsi:type="dcterms:W3CDTF">2024-08-12T10:47:58Z</dcterms:created>
</cp:coreProperties>
</file>