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305"/>
        <w:gridCol w:w="3077"/>
        <w:gridCol w:w="3076"/>
      </w:tblGrid>
      <w:tr>
        <w:trPr>
          <w:trHeight w:val="1252" w:hRule="atLeast"/>
        </w:trPr>
        <w:tc>
          <w:tcPr>
            <w:tcW w:w="3305" w:type="dxa"/>
            <w:tcBorders/>
            <w:vAlign w:val="center"/>
          </w:tcPr>
          <w:p>
            <w:pPr>
              <w:pStyle w:val="Normal"/>
              <w:spacing w:lineRule="auto" w:line="240" w:before="0" w:after="0"/>
              <w:jc w:val="center"/>
              <w:rPr>
                <w:rFonts w:ascii="Times New Roman" w:hAnsi="Times New Roman" w:eastAsia="Calibri" w:cs="Times New Roman"/>
                <w:b/>
                <w:sz w:val="24"/>
                <w:szCs w:val="24"/>
                <w:lang w:eastAsia="ru-RU"/>
              </w:rPr>
            </w:pPr>
            <w:r>
              <w:rPr>
                <w:rFonts w:eastAsia="Calibri" w:cs="Times New Roman" w:ascii="Times New Roman" w:hAnsi="Times New Roman"/>
                <w:b/>
                <w:sz w:val="24"/>
                <w:szCs w:val="24"/>
                <w:lang w:eastAsia="ru-RU"/>
              </w:rPr>
            </w:r>
          </w:p>
        </w:tc>
        <w:tc>
          <w:tcPr>
            <w:tcW w:w="3077" w:type="dxa"/>
            <w:tcBorders/>
            <w:vAlign w:val="center"/>
          </w:tcPr>
          <w:p>
            <w:pPr>
              <w:pStyle w:val="Normal"/>
              <w:spacing w:lineRule="auto" w:line="240" w:before="0" w:after="0"/>
              <w:jc w:val="center"/>
              <w:rPr>
                <w:rFonts w:ascii="Times New Roman" w:hAnsi="Times New Roman" w:eastAsia="Calibri" w:cs="Times New Roman"/>
                <w:sz w:val="28"/>
                <w:szCs w:val="24"/>
                <w:lang w:eastAsia="ru-RU"/>
              </w:rPr>
            </w:pPr>
            <w:r>
              <w:rPr/>
              <w:drawing>
                <wp:inline distT="0" distB="0" distL="0" distR="0">
                  <wp:extent cx="619125" cy="7143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19125" cy="714375"/>
                          </a:xfrm>
                          <a:prstGeom prst="rect">
                            <a:avLst/>
                          </a:prstGeom>
                        </pic:spPr>
                      </pic:pic>
                    </a:graphicData>
                  </a:graphic>
                </wp:inline>
              </w:drawing>
            </w:r>
          </w:p>
        </w:tc>
        <w:tc>
          <w:tcPr>
            <w:tcW w:w="3076" w:type="dxa"/>
            <w:tcBorders/>
          </w:tcPr>
          <w:p>
            <w:pPr>
              <w:pStyle w:val="Normal"/>
              <w:spacing w:lineRule="auto" w:line="240" w:before="0" w:after="0"/>
              <w:jc w:val="center"/>
              <w:rPr>
                <w:rFonts w:ascii="Times New Roman" w:hAnsi="Times New Roman" w:eastAsia="Calibri" w:cs="Times New Roman"/>
                <w:sz w:val="28"/>
                <w:szCs w:val="24"/>
                <w:lang w:eastAsia="ru-RU"/>
              </w:rPr>
            </w:pPr>
            <w:r>
              <w:rPr>
                <w:rFonts w:eastAsia="Calibri" w:cs="Times New Roman" w:ascii="Times New Roman" w:hAnsi="Times New Roman"/>
                <w:sz w:val="28"/>
                <w:szCs w:val="24"/>
                <w:lang w:eastAsia="ru-RU"/>
              </w:rPr>
            </w:r>
          </w:p>
        </w:tc>
      </w:tr>
    </w:tbl>
    <w:p>
      <w:pPr>
        <w:pStyle w:val="Normal"/>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t>ПРАВИТЕЛЬСТВО СЕВАСТОПОЛЯ</w:t>
      </w:r>
    </w:p>
    <w:p>
      <w:pPr>
        <w:pStyle w:val="Normal"/>
        <w:spacing w:lineRule="auto" w:line="240" w:before="0" w:after="0"/>
        <w:jc w:val="center"/>
        <w:rPr>
          <w:rFonts w:ascii="Times New Roman" w:hAnsi="Times New Roman" w:eastAsia="Calibri" w:cs="Times New Roman"/>
          <w:b/>
          <w:sz w:val="16"/>
          <w:szCs w:val="16"/>
          <w:lang w:eastAsia="ru-RU"/>
        </w:rPr>
      </w:pPr>
      <w:r>
        <w:rPr>
          <w:rFonts w:eastAsia="Calibri" w:cs="Times New Roman" w:ascii="Times New Roman" w:hAnsi="Times New Roman"/>
          <w:b/>
          <w:sz w:val="16"/>
          <w:szCs w:val="16"/>
          <w:lang w:eastAsia="ru-RU"/>
        </w:rPr>
      </w:r>
    </w:p>
    <w:p>
      <w:pPr>
        <w:pStyle w:val="Normal"/>
        <w:spacing w:lineRule="auto" w:line="240" w:before="0" w:after="0"/>
        <w:jc w:val="center"/>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t>ДЕПАРТАМЕНТ ЗДРАВООХРАНЕНИЯ ГОРОДА СЕВАСТОПОЛЯ</w:t>
      </w:r>
    </w:p>
    <w:p>
      <w:pPr>
        <w:pStyle w:val="Normal"/>
        <w:spacing w:lineRule="auto" w:line="240" w:before="0" w:after="0"/>
        <w:jc w:val="center"/>
        <w:rPr>
          <w:rFonts w:ascii="Times New Roman" w:hAnsi="Times New Roman" w:eastAsia="Calibri" w:cs="Times New Roman"/>
          <w:b/>
          <w:sz w:val="16"/>
          <w:szCs w:val="16"/>
          <w:lang w:eastAsia="ru-RU"/>
        </w:rPr>
      </w:pPr>
      <w:r>
        <w:rPr>
          <w:rFonts w:eastAsia="Calibri" w:cs="Times New Roman" w:ascii="Times New Roman" w:hAnsi="Times New Roman"/>
          <w:b/>
          <w:sz w:val="16"/>
          <w:szCs w:val="16"/>
          <w:lang w:eastAsia="ru-RU"/>
        </w:rPr>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mc:AlternateContent>
          <mc:Choice Requires="wps">
            <w:drawing>
              <wp:anchor behindDoc="0" distT="19050" distB="38100" distL="0" distR="38100" simplePos="0" locked="0" layoutInCell="1" allowOverlap="1" relativeHeight="3" wp14:anchorId="1B6AFB1C">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6"/>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pt" to="467.95pt,0pt" ID="Прямая соединительная линия 6" stroked="t" o:allowincell="f" style="position:absolute" wp14:anchorId="1B6AFB1C">
                <v:stroke color="black" weight="57240" joinstyle="round" endcap="flat"/>
                <v:fill o:detectmouseclick="t" on="false"/>
                <w10:wrap type="none"/>
              </v:line>
            </w:pict>
          </mc:Fallback>
        </mc:AlternateContent>
      </w:r>
      <w:bookmarkStart w:id="0" w:name="OLE_LINK5"/>
      <w:bookmarkStart w:id="1" w:name="OLE_LINK6"/>
      <w:bookmarkStart w:id="2" w:name="OLE_LINK1"/>
      <w:bookmarkStart w:id="3" w:name="OLE_LINK2"/>
      <w:bookmarkStart w:id="4" w:name="OLE_LINK5"/>
      <w:bookmarkStart w:id="5" w:name="OLE_LINK6"/>
      <w:bookmarkStart w:id="6" w:name="OLE_LINK1"/>
      <w:bookmarkStart w:id="7" w:name="OLE_LINK2"/>
      <w:bookmarkEnd w:id="4"/>
      <w:bookmarkEnd w:id="5"/>
      <w:bookmarkEnd w:id="6"/>
      <w:bookmarkEnd w:id="7"/>
    </w:p>
    <w:p>
      <w:pPr>
        <w:pStyle w:val="Normal"/>
        <w:keepNext w:val="true"/>
        <w:numPr>
          <w:ilvl w:val="0"/>
          <w:numId w:val="0"/>
        </w:numPr>
        <w:spacing w:lineRule="auto" w:line="240" w:before="0" w:after="0"/>
        <w:jc w:val="center"/>
        <w:outlineLvl w:val="1"/>
        <w:rPr>
          <w:rFonts w:ascii="Times New Roman" w:hAnsi="Times New Roman" w:eastAsia="Calibri" w:cs="Times New Roman"/>
          <w:b/>
          <w:sz w:val="28"/>
          <w:szCs w:val="24"/>
          <w:lang w:eastAsia="ru-RU"/>
        </w:rPr>
      </w:pPr>
      <w:r>
        <w:rPr>
          <w:rFonts w:eastAsia="Calibri" w:cs="Times New Roman" w:ascii="Times New Roman" w:hAnsi="Times New Roman"/>
          <w:b/>
          <w:sz w:val="28"/>
          <w:szCs w:val="24"/>
          <w:lang w:eastAsia="ru-RU"/>
        </w:rPr>
        <w:t>П Р И К А З</w:t>
      </w:r>
    </w:p>
    <w:p>
      <w:pPr>
        <w:pStyle w:val="Normal"/>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«___» ________________</w:t>
        <w:tab/>
        <w:tab/>
        <w:tab/>
        <w:tab/>
        <w:tab/>
        <w:tab/>
        <w:tab/>
        <w:t xml:space="preserve">   №______</w:t>
      </w:r>
    </w:p>
    <w:p>
      <w:pPr>
        <w:pStyle w:val="Normal"/>
        <w:spacing w:lineRule="auto" w:line="240" w:before="0" w:after="0"/>
        <w:rPr>
          <w:rFonts w:ascii="Times New Roman" w:hAnsi="Times New Roman" w:eastAsia="Times New Roman" w:cs="Times New Roman"/>
          <w:sz w:val="28"/>
          <w:szCs w:val="24"/>
          <w:lang w:eastAsia="ru-RU"/>
        </w:rPr>
      </w:pPr>
      <w:r>
        <w:rPr>
          <w:rFonts w:eastAsia="Times New Roman" w:cs="Times New Roman" w:ascii="Times New Roman" w:hAnsi="Times New Roman"/>
          <w:sz w:val="28"/>
          <w:szCs w:val="24"/>
          <w:lang w:eastAsia="ru-RU"/>
        </w:rPr>
      </w:r>
      <w:bookmarkStart w:id="8" w:name="OLE_LINK4"/>
      <w:bookmarkStart w:id="9" w:name="OLE_LINK3"/>
      <w:bookmarkStart w:id="10" w:name="OLE_LINK4"/>
      <w:bookmarkStart w:id="11" w:name="OLE_LINK3"/>
      <w:bookmarkEnd w:id="10"/>
      <w:bookmarkEnd w:id="11"/>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О согласовании в Департаменте здравоохранения города Севастополя лиц, представляемых к награждению государственными наградами Российской Федерации и наградами города Севастополя</w:t>
      </w:r>
    </w:p>
    <w:p>
      <w:pPr>
        <w:pStyle w:val="Normal"/>
        <w:spacing w:lineRule="auto" w:line="240" w:before="0" w:after="0"/>
        <w:ind w:firstLine="709" w:right="-2"/>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ConsPlusNormal"/>
        <w:spacing w:before="0" w:after="0"/>
        <w:ind w:firstLine="709"/>
        <w:contextualSpacing/>
        <w:jc w:val="both"/>
        <w:rPr>
          <w:sz w:val="28"/>
          <w:szCs w:val="28"/>
        </w:rPr>
      </w:pPr>
      <w:r>
        <w:rPr>
          <w:rFonts w:eastAsia="Times New Roman"/>
          <w:sz w:val="28"/>
          <w:szCs w:val="28"/>
          <w:lang w:eastAsia="ar-SA"/>
        </w:rPr>
        <w:t xml:space="preserve">Руководствуясь Указом Президента Российской Федерации от 07.09.2010 № 1099 «О мерах по совершенствованию государственной наградной системы Российской Федерации», </w:t>
      </w:r>
      <w:r>
        <w:rPr>
          <w:sz w:val="28"/>
          <w:szCs w:val="28"/>
        </w:rPr>
        <w:t xml:space="preserve">Законом города Севастополя от 19.04.2017 № 336-ЗС «О наградах города Севастополя», </w:t>
      </w:r>
      <w:r>
        <w:rPr>
          <w:rFonts w:eastAsia="Times New Roman"/>
          <w:sz w:val="28"/>
          <w:szCs w:val="28"/>
          <w:lang w:eastAsia="ar-SA"/>
        </w:rPr>
        <w:t>Положением о Департаменте здравоохранения города Севастополя, утвержденным постановлением Правительства Севастополя от 27.11.2023 № 535-ПП,</w:t>
      </w:r>
      <w:r>
        <w:rPr/>
        <w:t xml:space="preserve"> </w:t>
      </w:r>
      <w:r>
        <w:rPr>
          <w:sz w:val="28"/>
          <w:szCs w:val="28"/>
        </w:rPr>
        <w:t>в целях совершенствования деятельности в сфере наградной политики</w:t>
      </w:r>
    </w:p>
    <w:p>
      <w:pPr>
        <w:pStyle w:val="Normal"/>
        <w:spacing w:before="0" w:after="0"/>
        <w:ind w:firstLine="709"/>
        <w:jc w:val="both"/>
        <w:rPr>
          <w:rFonts w:ascii="Courier New" w:hAnsi="Courier New" w:eastAsia="Times New Roman" w:cs="Times New Roman"/>
          <w:sz w:val="28"/>
          <w:szCs w:val="28"/>
          <w:lang w:eastAsia="ar-SA"/>
        </w:rPr>
      </w:pPr>
      <w:r>
        <w:rPr>
          <w:rFonts w:eastAsia="Times New Roman" w:cs="Times New Roman" w:ascii="Courier New" w:hAnsi="Courier New"/>
          <w:sz w:val="28"/>
          <w:szCs w:val="28"/>
          <w:lang w:eastAsia="ar-SA"/>
        </w:rPr>
      </w:r>
    </w:p>
    <w:p>
      <w:pPr>
        <w:pStyle w:val="Normal"/>
        <w:spacing w:lineRule="auto" w:line="240" w:before="0" w:after="0"/>
        <w:ind w:left="-30"/>
        <w:jc w:val="center"/>
        <w:rPr>
          <w:rFonts w:ascii="Times New Roman" w:hAnsi="Times New Roman" w:eastAsia="Times New Roman" w:cs="Times New Roman"/>
          <w:sz w:val="28"/>
          <w:szCs w:val="28"/>
          <w:lang w:eastAsia="ar-SA"/>
        </w:rPr>
      </w:pPr>
      <w:r>
        <w:rPr>
          <w:rFonts w:eastAsia="Times New Roman" w:cs="Times New Roman" w:ascii="Times New Roman" w:hAnsi="Times New Roman"/>
          <w:bCs/>
          <w:sz w:val="28"/>
          <w:szCs w:val="28"/>
          <w:lang w:eastAsia="x-none"/>
        </w:rPr>
        <w:t>ПРИКАЗЫВАЮ</w:t>
      </w:r>
      <w:r>
        <w:rPr>
          <w:rFonts w:eastAsia="Times New Roman" w:cs="Times New Roman" w:ascii="Times New Roman" w:hAnsi="Times New Roman"/>
          <w:sz w:val="28"/>
          <w:szCs w:val="28"/>
          <w:lang w:eastAsia="ar-SA"/>
        </w:rPr>
        <w:t>:</w:t>
      </w:r>
    </w:p>
    <w:p>
      <w:pPr>
        <w:pStyle w:val="ConsPlusNormal"/>
        <w:spacing w:before="240" w:after="0"/>
        <w:ind w:firstLine="709"/>
        <w:contextualSpacing/>
        <w:jc w:val="both"/>
        <w:rPr>
          <w:sz w:val="28"/>
          <w:szCs w:val="28"/>
        </w:rPr>
      </w:pPr>
      <w:r>
        <w:rPr>
          <w:rFonts w:eastAsia="Times New Roman"/>
          <w:sz w:val="28"/>
          <w:szCs w:val="28"/>
          <w:lang w:eastAsia="ar-SA"/>
        </w:rPr>
        <w:t>1.</w:t>
      </w:r>
      <w:r>
        <w:rPr/>
        <w:t xml:space="preserve"> </w:t>
      </w:r>
      <w:r>
        <w:rPr>
          <w:sz w:val="28"/>
          <w:szCs w:val="28"/>
        </w:rPr>
        <w:t>Утвердить:</w:t>
      </w:r>
    </w:p>
    <w:p>
      <w:pPr>
        <w:pStyle w:val="Normal"/>
        <w:spacing w:lineRule="auto" w:line="240"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 xml:space="preserve">1.1. Порядок согласования в Департаменте здравоохранения города Севастополя </w:t>
      </w:r>
      <w:r>
        <w:rPr>
          <w:rFonts w:eastAsia="Times New Roman" w:cs="Times New Roman" w:ascii="Times New Roman" w:hAnsi="Times New Roman"/>
          <w:sz w:val="28"/>
          <w:szCs w:val="28"/>
          <w:lang w:eastAsia="ar-SA"/>
        </w:rPr>
        <w:t xml:space="preserve">лиц, представляемых к награждению государственными наградами Российской Федерации и наградами города Севастополя </w:t>
      </w:r>
      <w:r>
        <w:rPr>
          <w:rFonts w:cs="Times New Roman" w:ascii="Times New Roman" w:hAnsi="Times New Roman"/>
          <w:sz w:val="28"/>
          <w:szCs w:val="28"/>
        </w:rPr>
        <w:t>согласно приложению № 1 к настоящему приказу.</w:t>
      </w:r>
    </w:p>
    <w:p>
      <w:pPr>
        <w:pStyle w:val="Normal"/>
        <w:spacing w:lineRule="auto" w:line="240" w:before="0" w:after="0"/>
        <w:ind w:firstLine="708"/>
        <w:contextualSpacing/>
        <w:jc w:val="both"/>
        <w:rPr>
          <w:sz w:val="28"/>
          <w:szCs w:val="28"/>
        </w:rPr>
      </w:pPr>
      <w:r>
        <w:rPr>
          <w:rFonts w:cs="Times New Roman" w:ascii="Times New Roman" w:hAnsi="Times New Roman"/>
          <w:sz w:val="28"/>
          <w:szCs w:val="28"/>
        </w:rPr>
        <w:t xml:space="preserve">1.2. Положение о Комиссии Департамента здравоохранения города Севастополя по согласованию </w:t>
      </w:r>
      <w:r>
        <w:rPr>
          <w:rFonts w:eastAsia="Times New Roman" w:cs="Times New Roman" w:ascii="Times New Roman" w:hAnsi="Times New Roman"/>
          <w:sz w:val="28"/>
          <w:szCs w:val="28"/>
          <w:lang w:eastAsia="ar-SA"/>
        </w:rPr>
        <w:t xml:space="preserve">лиц, представляемых к награждению государственными наградами Российской Федерации и наградами города Севастополя </w:t>
      </w:r>
      <w:r>
        <w:rPr>
          <w:rFonts w:cs="Times New Roman" w:ascii="Times New Roman" w:hAnsi="Times New Roman"/>
          <w:sz w:val="28"/>
          <w:szCs w:val="28"/>
        </w:rPr>
        <w:t>согласно приложению № 2 к настоящему приказу.</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Настоящий приказ подлежит опубликованию на официальном сайте Департамента здравоохранения города Севастополя.</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cs="Times New Roman" w:ascii="Times New Roman" w:hAnsi="Times New Roman"/>
          <w:sz w:val="28"/>
          <w:szCs w:val="28"/>
        </w:rPr>
        <w:t xml:space="preserve">3. Контроль за исполнением настоящего приказа возложить на </w:t>
      </w:r>
      <w:r>
        <w:rPr>
          <w:rFonts w:eastAsia="Times New Roman" w:cs="Times New Roman" w:ascii="Times New Roman" w:hAnsi="Times New Roman"/>
          <w:sz w:val="28"/>
          <w:szCs w:val="28"/>
          <w:lang w:eastAsia="ar-SA"/>
        </w:rPr>
        <w:t>первого заместителя директора Департамента здравоохранения города Севастополя Островскую Анну Валерьевну.</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right="-2"/>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Директор Департамента </w:t>
      </w:r>
      <w:bookmarkStart w:id="12" w:name="_GoBack"/>
      <w:bookmarkEnd w:id="12"/>
      <w:r>
        <w:rPr>
          <w:rFonts w:eastAsia="Times New Roman" w:cs="Times New Roman" w:ascii="Times New Roman" w:hAnsi="Times New Roman"/>
          <w:sz w:val="28"/>
          <w:szCs w:val="28"/>
          <w:lang w:eastAsia="ru-RU"/>
        </w:rPr>
        <w:t>–</w:t>
      </w:r>
    </w:p>
    <w:p>
      <w:pPr>
        <w:pStyle w:val="Normal"/>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член Правительства Севастополя                                                    В.С. Денисов</w:t>
      </w:r>
    </w:p>
    <w:p>
      <w:pPr>
        <w:pStyle w:val="Normal"/>
        <w:spacing w:lineRule="auto" w:line="240" w:before="0" w:after="0"/>
        <w:contextualSpacing/>
        <w:rPr>
          <w:rFonts w:ascii="Times New Roman" w:hAnsi="Times New Roman" w:eastAsia="Times New Roman" w:cs="Times New Roman"/>
          <w:sz w:val="28"/>
          <w:szCs w:val="28"/>
          <w:lang w:eastAsia="ru-RU"/>
        </w:rPr>
      </w:pPr>
      <w:r>
        <w:rPr/>
      </w:r>
    </w:p>
    <w:p>
      <w:pPr>
        <w:pStyle w:val="Normal"/>
        <w:spacing w:lineRule="auto" w:line="240" w:before="0" w:after="0"/>
        <w:contextualSpacing/>
        <w:rPr>
          <w:rFonts w:ascii="Times New Roman" w:hAnsi="Times New Roman" w:eastAsia="Times New Roman" w:cs="Times New Roman"/>
          <w:sz w:val="28"/>
          <w:szCs w:val="28"/>
          <w:lang w:eastAsia="ru-RU"/>
        </w:rPr>
      </w:pPr>
      <w:r>
        <w:rPr/>
      </w:r>
    </w:p>
    <w:p>
      <w:pPr>
        <w:sectPr>
          <w:type w:val="nextPage"/>
          <w:pgSz w:w="11906" w:h="16838"/>
          <w:pgMar w:left="1701" w:right="850" w:gutter="0" w:header="0" w:top="1134" w:footer="0" w:bottom="709"/>
          <w:pgNumType w:fmt="decimal"/>
          <w:formProt w:val="false"/>
          <w:textDirection w:val="lrTb"/>
          <w:docGrid w:type="default" w:linePitch="360" w:charSpace="4096"/>
        </w:sectPr>
        <w:pStyle w:val="Normal"/>
        <w:spacing w:lineRule="auto" w:line="240" w:before="0" w:after="0"/>
        <w:contextualSpacing/>
        <w:rPr>
          <w:rFonts w:ascii="Times New Roman" w:hAnsi="Times New Roman" w:eastAsia="Times New Roman" w:cs="Times New Roman"/>
          <w:sz w:val="28"/>
          <w:szCs w:val="28"/>
          <w:lang w:eastAsia="ru-RU"/>
        </w:rPr>
      </w:pPr>
      <w:r>
        <w:rPr/>
      </w:r>
    </w:p>
    <w:p>
      <w:pPr>
        <w:pStyle w:val="Normal"/>
        <w:tabs>
          <w:tab w:val="clear" w:pos="708"/>
          <w:tab w:val="left" w:pos="5700" w:leader="none"/>
          <w:tab w:val="left" w:pos="6615" w:leader="none"/>
        </w:tabs>
        <w:spacing w:before="0" w:after="0"/>
        <w:contextualSpacing/>
        <w:jc w:val="both"/>
        <w:rPr>
          <w:rFonts w:ascii="Times New Roman" w:hAnsi="Times New Roman" w:cs="Times New Roman"/>
          <w:b w:val="false"/>
          <w:sz w:val="28"/>
          <w:szCs w:val="28"/>
        </w:rPr>
      </w:pPr>
      <w:r>
        <w:rPr>
          <w:rFonts w:cs="Times New Roman" w:ascii="Times New Roman" w:hAnsi="Times New Roman"/>
          <w:b w:val="false"/>
          <w:sz w:val="28"/>
          <w:szCs w:val="28"/>
        </w:rPr>
        <w:t>Приложение № 1</w:t>
      </w:r>
    </w:p>
    <w:p>
      <w:pPr>
        <w:pStyle w:val="ConsPlusTitle"/>
        <w:tabs>
          <w:tab w:val="clear" w:pos="708"/>
          <w:tab w:val="left" w:pos="5700" w:leader="none"/>
          <w:tab w:val="left" w:pos="6615" w:leader="none"/>
        </w:tabs>
        <w:spacing w:before="0" w:after="0"/>
        <w:contextualSpacing/>
        <w:jc w:val="both"/>
        <w:rPr>
          <w:rFonts w:ascii="Times New Roman" w:hAnsi="Times New Roman" w:cs="Times New Roman"/>
          <w:b w:val="false"/>
          <w:sz w:val="28"/>
          <w:szCs w:val="28"/>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к приказу Департамента</w:t>
      </w:r>
    </w:p>
    <w:p>
      <w:pPr>
        <w:pStyle w:val="ConsPlusTitle"/>
        <w:tabs>
          <w:tab w:val="clear" w:pos="708"/>
          <w:tab w:val="left" w:pos="5700" w:leader="none"/>
          <w:tab w:val="left" w:pos="6615" w:leader="none"/>
        </w:tabs>
        <w:spacing w:before="0" w:after="0"/>
        <w:ind w:left="5664"/>
        <w:contextualSpacing/>
        <w:jc w:val="both"/>
        <w:rPr>
          <w:rFonts w:ascii="Times New Roman" w:hAnsi="Times New Roman" w:cs="Times New Roman"/>
          <w:b w:val="false"/>
          <w:sz w:val="28"/>
          <w:szCs w:val="28"/>
        </w:rPr>
      </w:pPr>
      <w:r>
        <w:rPr>
          <w:rFonts w:cs="Times New Roman" w:ascii="Times New Roman" w:hAnsi="Times New Roman"/>
          <w:b w:val="false"/>
          <w:sz w:val="28"/>
          <w:szCs w:val="28"/>
        </w:rPr>
        <w:tab/>
        <w:t>здравоохранения города Севастополя</w:t>
      </w:r>
    </w:p>
    <w:p>
      <w:pPr>
        <w:pStyle w:val="ConsPlusTitle"/>
        <w:tabs>
          <w:tab w:val="clear" w:pos="708"/>
          <w:tab w:val="left" w:pos="5700" w:leader="none"/>
          <w:tab w:val="left" w:pos="6615" w:leader="none"/>
        </w:tabs>
        <w:spacing w:before="0" w:after="0"/>
        <w:ind w:left="5664"/>
        <w:contextualSpacing/>
        <w:jc w:val="both"/>
        <w:rPr>
          <w:rFonts w:ascii="Times New Roman" w:hAnsi="Times New Roman" w:cs="Times New Roman"/>
          <w:b w:val="false"/>
          <w:sz w:val="28"/>
          <w:szCs w:val="28"/>
        </w:rPr>
      </w:pPr>
      <w:r>
        <w:rPr>
          <w:rFonts w:cs="Times New Roman" w:ascii="Times New Roman" w:hAnsi="Times New Roman"/>
          <w:b w:val="false"/>
          <w:sz w:val="28"/>
          <w:szCs w:val="28"/>
        </w:rPr>
        <w:t>от ____________№   _________</w:t>
        <w:tab/>
      </w:r>
    </w:p>
    <w:p>
      <w:pPr>
        <w:pStyle w:val="ConsPlusTitle"/>
        <w:spacing w:before="0" w:after="0"/>
        <w:contextualSpacing/>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Header"/>
        <w:tabs>
          <w:tab w:val="center" w:pos="4677" w:leader="none"/>
          <w:tab w:val="left" w:pos="6915" w:leader="none"/>
          <w:tab w:val="right" w:pos="9355" w:leader="none"/>
        </w:tabs>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Порядок согласования</w:t>
      </w:r>
    </w:p>
    <w:p>
      <w:pPr>
        <w:pStyle w:val="Header"/>
        <w:tabs>
          <w:tab w:val="center" w:pos="4677" w:leader="none"/>
          <w:tab w:val="left" w:pos="6915" w:leader="none"/>
          <w:tab w:val="right" w:pos="9355" w:leader="none"/>
        </w:tabs>
        <w:spacing w:before="0" w:after="0"/>
        <w:ind w:left="709"/>
        <w:contextualSpacing/>
        <w:jc w:val="center"/>
        <w:rPr>
          <w:rFonts w:ascii="Times New Roman" w:hAnsi="Times New Roman" w:cs="Times New Roman"/>
          <w:sz w:val="28"/>
          <w:szCs w:val="28"/>
        </w:rPr>
      </w:pPr>
      <w:r>
        <w:rPr>
          <w:rFonts w:cs="Times New Roman" w:ascii="Times New Roman" w:hAnsi="Times New Roman"/>
          <w:sz w:val="28"/>
          <w:szCs w:val="28"/>
        </w:rPr>
        <w:t>в Департаменте здравоохранения города Севастополя лиц,     представляемых к награждению государственными наградами</w:t>
      </w:r>
    </w:p>
    <w:p>
      <w:pPr>
        <w:pStyle w:val="Header"/>
        <w:tabs>
          <w:tab w:val="center" w:pos="4677" w:leader="none"/>
          <w:tab w:val="left" w:pos="6915" w:leader="none"/>
          <w:tab w:val="right" w:pos="9355" w:leader="none"/>
        </w:tabs>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Российской Федерации и наградами города Севастополя</w:t>
      </w:r>
    </w:p>
    <w:p>
      <w:pPr>
        <w:pStyle w:val="Header"/>
        <w:tabs>
          <w:tab w:val="center" w:pos="4677" w:leader="none"/>
          <w:tab w:val="left" w:pos="6915" w:leader="none"/>
          <w:tab w:val="right" w:pos="9355" w:leader="none"/>
        </w:tabs>
        <w:spacing w:before="0" w:after="0"/>
        <w:ind w:firstLine="709"/>
        <w:contextualSpacing/>
        <w:jc w:val="center"/>
        <w:rPr/>
      </w:pPr>
      <w:r>
        <w:rPr/>
      </w:r>
    </w:p>
    <w:p>
      <w:pPr>
        <w:pStyle w:val="ConsPlusNormal"/>
        <w:spacing w:before="0" w:after="0"/>
        <w:ind w:firstLine="709"/>
        <w:contextualSpacing/>
        <w:jc w:val="both"/>
        <w:rPr>
          <w:sz w:val="28"/>
          <w:szCs w:val="28"/>
        </w:rPr>
      </w:pPr>
      <w:r>
        <w:rPr>
          <w:sz w:val="28"/>
          <w:szCs w:val="28"/>
        </w:rPr>
        <w:t>1. Ходатайства о награждении государственной наградой возбуждаются по месту основной (постоянной) работы (службы) или учебы лица, представляемого к награждению государственной наградой в соответствии с Указом Президента Российской Федерации от 07.09.2010 № 1099 «О мерах по совершенствования государственной наградной системы Российской Федерации» (далее – Указ):</w:t>
      </w:r>
    </w:p>
    <w:p>
      <w:pPr>
        <w:pStyle w:val="ConsPlusNormal"/>
        <w:spacing w:before="0" w:after="0"/>
        <w:ind w:firstLine="709"/>
        <w:contextualSpacing/>
        <w:jc w:val="both"/>
        <w:rPr>
          <w:sz w:val="28"/>
          <w:szCs w:val="28"/>
        </w:rPr>
      </w:pPr>
      <w:r>
        <w:rPr>
          <w:sz w:val="28"/>
          <w:szCs w:val="28"/>
        </w:rPr>
        <w:t>1.1. Коллективами организаций.</w:t>
      </w:r>
    </w:p>
    <w:p>
      <w:pPr>
        <w:pStyle w:val="Header"/>
        <w:spacing w:before="0" w:after="0"/>
        <w:ind w:left="709"/>
        <w:contextualSpacing/>
        <w:jc w:val="both"/>
        <w:rPr>
          <w:rFonts w:ascii="Times New Roman" w:hAnsi="Times New Roman" w:eastAsia="Times New Roman" w:cs="Times New Roman"/>
          <w:sz w:val="28"/>
          <w:szCs w:val="28"/>
          <w:lang w:eastAsia="ar-SA"/>
        </w:rPr>
      </w:pPr>
      <w:r>
        <w:rPr>
          <w:rFonts w:cs="Times New Roman" w:ascii="Times New Roman" w:hAnsi="Times New Roman"/>
          <w:sz w:val="28"/>
          <w:szCs w:val="28"/>
        </w:rPr>
        <w:t xml:space="preserve">1.2. Государственными органами или органами местного самоуправления. </w:t>
      </w:r>
    </w:p>
    <w:p>
      <w:pPr>
        <w:pStyle w:val="NormalWeb"/>
        <w:spacing w:beforeAutospacing="0" w:before="0" w:afterAutospacing="0" w:after="0"/>
        <w:ind w:firstLine="709"/>
        <w:contextualSpacing/>
        <w:jc w:val="both"/>
        <w:rPr>
          <w:sz w:val="28"/>
          <w:szCs w:val="28"/>
        </w:rPr>
      </w:pPr>
      <w:r>
        <w:rPr>
          <w:sz w:val="28"/>
          <w:szCs w:val="28"/>
        </w:rPr>
        <w:t>2. Обращение с ходатайствами о награждении наградами города Севастополя осуществляется в соответствии с Законом города Севастополя от 19.04.2017 № 336-ЗС «О наградах города Севастополя» (далее – Закон):</w:t>
      </w:r>
    </w:p>
    <w:p>
      <w:pPr>
        <w:pStyle w:val="NormalWeb"/>
        <w:spacing w:beforeAutospacing="0" w:before="0" w:afterAutospacing="0" w:after="0"/>
        <w:ind w:firstLine="709"/>
        <w:contextualSpacing/>
        <w:jc w:val="both"/>
        <w:rPr>
          <w:sz w:val="28"/>
          <w:szCs w:val="28"/>
        </w:rPr>
      </w:pPr>
      <w:r>
        <w:rPr>
          <w:sz w:val="28"/>
          <w:szCs w:val="28"/>
        </w:rPr>
        <w:t xml:space="preserve">2.1. Депутатами Законодательного Собрания города Севастополя, Правительством Севастополя; исполнительными органами государственной власти города Севастополя, федеральными органами законодательной власти, федеральными органами исполнительной власти и их территориальными органами по городу Севастополю, федеральными судами, которые действуют на территории города Севастополя, органами прокуратуры города Севастополя, территориальными органами Федеральной службы безопасности по городу Севастополю, воинскими формированиями, расположенными на территории города Севастополя. </w:t>
      </w:r>
    </w:p>
    <w:p>
      <w:pPr>
        <w:pStyle w:val="NormalWeb"/>
        <w:spacing w:beforeAutospacing="0" w:before="0" w:afterAutospacing="0" w:after="0"/>
        <w:ind w:firstLine="709"/>
        <w:contextualSpacing/>
        <w:jc w:val="both"/>
        <w:rPr>
          <w:sz w:val="28"/>
          <w:szCs w:val="28"/>
        </w:rPr>
      </w:pPr>
      <w:r>
        <w:rPr>
          <w:sz w:val="28"/>
          <w:szCs w:val="28"/>
        </w:rPr>
        <w:t xml:space="preserve">2.2. Руководителями органов местного самоуправления в городе Севастополе, органами местного самоуправления в городе Севастополе, ассоциациями органов местного самоуправления в городе Севастополе. </w:t>
      </w:r>
    </w:p>
    <w:p>
      <w:pPr>
        <w:pStyle w:val="NormalWeb"/>
        <w:spacing w:beforeAutospacing="0" w:before="0" w:afterAutospacing="0" w:after="0"/>
        <w:ind w:firstLine="709"/>
        <w:contextualSpacing/>
        <w:jc w:val="both"/>
        <w:rPr>
          <w:sz w:val="28"/>
          <w:szCs w:val="28"/>
        </w:rPr>
      </w:pPr>
      <w:r>
        <w:rPr>
          <w:sz w:val="28"/>
          <w:szCs w:val="28"/>
        </w:rPr>
        <w:t xml:space="preserve">2.3. Общероссийскими, межрегиональными и региональными общественными объединениями. </w:t>
      </w:r>
    </w:p>
    <w:p>
      <w:pPr>
        <w:pStyle w:val="NormalWeb"/>
        <w:spacing w:beforeAutospacing="0" w:before="0" w:afterAutospacing="0" w:after="0"/>
        <w:ind w:firstLine="709"/>
        <w:contextualSpacing/>
        <w:jc w:val="both"/>
        <w:rPr>
          <w:sz w:val="28"/>
          <w:szCs w:val="28"/>
        </w:rPr>
      </w:pPr>
      <w:r>
        <w:rPr>
          <w:sz w:val="28"/>
          <w:szCs w:val="28"/>
        </w:rPr>
        <w:t xml:space="preserve">2.4. Руководителями, общими собраниями (конференциями) трудовых коллективов учреждений, организаций независимо от форм собственности, профессиональных творческих коллективов по месту работы представляемого к награждению лица, коллегиальными органами учреждений, организаций независимо от форм собственности (профсоюзными комитетами, советами трудовых коллективов и другими коллегиальными органами). </w:t>
      </w:r>
    </w:p>
    <w:p>
      <w:pPr>
        <w:pStyle w:val="ConsPlusNormal"/>
        <w:spacing w:before="0" w:after="0"/>
        <w:ind w:firstLine="709"/>
        <w:contextualSpacing/>
        <w:jc w:val="both"/>
        <w:rPr>
          <w:sz w:val="28"/>
          <w:szCs w:val="28"/>
        </w:rPr>
      </w:pPr>
      <w:r>
        <w:rPr>
          <w:sz w:val="28"/>
          <w:szCs w:val="28"/>
        </w:rPr>
        <w:t xml:space="preserve"> </w:t>
      </w:r>
      <w:r>
        <w:rPr>
          <w:sz w:val="28"/>
          <w:szCs w:val="28"/>
        </w:rPr>
        <w:t xml:space="preserve">3. Ходатайства о награждении и документы к ним, предусмотренные Указом или Законом, поступившие в Департамент здравоохранения города Севастополя для согласования, до внесения их директору Департамента здравоохранения города Севастополя – члену Правительства Севастополя рассматриваются Комиссией Департамента здравоохранения города Севастополя по согласованию лиц, представляемых к награждению государственными наградами Российской Федерации и наградами города Севастополя (далее – Комиссия). </w:t>
      </w:r>
    </w:p>
    <w:p>
      <w:pPr>
        <w:pStyle w:val="Normal"/>
        <w:spacing w:lineRule="auto" w:line="240"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Срок рассмотрения документов о награждении не может превышать 30 дней со дня их поступления на рассмотрение.</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Комиссия рассматривает ходатайство по существу и принимает мотивированное решение о поддержке представленного ходатайства или его отклонении в случае несоответствия лица, представляемого к награждению, требованиям Указа и Закона.</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cs="Times New Roman" w:ascii="Times New Roman" w:hAnsi="Times New Roman"/>
          <w:sz w:val="28"/>
          <w:szCs w:val="28"/>
        </w:rPr>
        <w:t xml:space="preserve">5. В случае принятия Комиссией положительного решения протокол заседания </w:t>
      </w:r>
      <w:r>
        <w:rPr>
          <w:rFonts w:eastAsia="Times New Roman" w:cs="Times New Roman" w:ascii="Times New Roman" w:hAnsi="Times New Roman"/>
          <w:sz w:val="28"/>
          <w:szCs w:val="28"/>
        </w:rPr>
        <w:t>Комиссии направляется директору Департамента здравоохранения города Севастополя – члену Правительства Севастополя с целью согласования</w:t>
      </w:r>
      <w:r>
        <w:rPr>
          <w:rFonts w:cs="Times New Roman" w:ascii="Times New Roman" w:hAnsi="Times New Roman"/>
          <w:sz w:val="28"/>
          <w:szCs w:val="28"/>
        </w:rPr>
        <w:t xml:space="preserve"> наградного листа лица, представленного к награждению.</w:t>
      </w:r>
      <w:r>
        <w:rPr>
          <w:rFonts w:eastAsia="Times New Roman" w:cs="Times New Roman" w:ascii="Times New Roman" w:hAnsi="Times New Roman"/>
          <w:sz w:val="28"/>
          <w:szCs w:val="28"/>
        </w:rPr>
        <w:t xml:space="preserve"> </w:t>
      </w:r>
    </w:p>
    <w:p>
      <w:pPr>
        <w:pStyle w:val="ConsPlusNormal"/>
        <w:spacing w:before="0" w:after="0"/>
        <w:ind w:firstLine="709"/>
        <w:contextualSpacing/>
        <w:jc w:val="both"/>
        <w:rPr>
          <w:sz w:val="28"/>
          <w:szCs w:val="28"/>
        </w:rPr>
      </w:pPr>
      <w:r>
        <w:rPr>
          <w:sz w:val="28"/>
          <w:szCs w:val="28"/>
        </w:rPr>
        <w:t xml:space="preserve">6. В случае принятия Комиссией решения не поддерживать ходатайство о награждении </w:t>
      </w:r>
      <w:bookmarkStart w:id="13" w:name="_GoBack_Копия_1"/>
      <w:bookmarkEnd w:id="13"/>
      <w:r>
        <w:rPr>
          <w:sz w:val="28"/>
          <w:szCs w:val="28"/>
        </w:rPr>
        <w:t xml:space="preserve">документы о награждении возвращаются инициатору ходатайства. </w:t>
      </w:r>
    </w:p>
    <w:p>
      <w:pPr>
        <w:pStyle w:val="Normal"/>
        <w:tabs>
          <w:tab w:val="clear" w:pos="708"/>
          <w:tab w:val="left" w:pos="709" w:leader="none"/>
        </w:tabs>
        <w:spacing w:lineRule="auto" w:line="240" w:before="0" w:after="0"/>
        <w:ind w:firstLine="709"/>
        <w:contextualSpacing/>
        <w:rPr>
          <w:sz w:val="28"/>
          <w:szCs w:val="28"/>
        </w:rPr>
      </w:pPr>
      <w:r>
        <w:rPr>
          <w:rFonts w:eastAsia="Times New Roman" w:cs="Times New Roman" w:ascii="Times New Roman" w:hAnsi="Times New Roman"/>
          <w:sz w:val="28"/>
          <w:szCs w:val="28"/>
          <w:lang w:eastAsia="ru-RU"/>
        </w:rPr>
        <w:tab/>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pStyle w:val="Normal"/>
        <w:tabs>
          <w:tab w:val="clear" w:pos="708"/>
          <w:tab w:val="left" w:pos="709" w:leader="none"/>
        </w:tabs>
        <w:spacing w:lineRule="auto" w:line="240" w:before="0" w:after="0"/>
        <w:ind w:firstLine="709"/>
        <w:contextualSpacing/>
        <w:rPr>
          <w:sz w:val="28"/>
          <w:szCs w:val="28"/>
        </w:rPr>
      </w:pPr>
      <w:r>
        <w:rPr/>
      </w:r>
    </w:p>
    <w:p>
      <w:pPr>
        <w:sectPr>
          <w:headerReference w:type="default" r:id="rId3"/>
          <w:type w:val="nextPage"/>
          <w:pgSz w:w="11906" w:h="16838"/>
          <w:pgMar w:left="1701" w:right="850" w:gutter="0" w:header="708" w:top="1134" w:footer="0" w:bottom="709"/>
          <w:pgNumType w:fmt="decimal"/>
          <w:formProt w:val="false"/>
          <w:titlePg/>
          <w:textDirection w:val="lrTb"/>
          <w:docGrid w:type="default" w:linePitch="360" w:charSpace="4096"/>
        </w:sectPr>
        <w:pStyle w:val="Normal"/>
        <w:tabs>
          <w:tab w:val="clear" w:pos="708"/>
          <w:tab w:val="left" w:pos="709" w:leader="none"/>
        </w:tabs>
        <w:spacing w:lineRule="auto" w:line="240" w:before="0" w:after="0"/>
        <w:ind w:firstLine="709"/>
        <w:contextualSpacing/>
        <w:rPr>
          <w:sz w:val="28"/>
          <w:szCs w:val="28"/>
        </w:rPr>
      </w:pPr>
      <w:r>
        <w:rPr/>
      </w:r>
    </w:p>
    <w:p>
      <w:pPr>
        <w:pStyle w:val="Normal"/>
        <w:widowControl w:val="false"/>
        <w:tabs>
          <w:tab w:val="clear" w:pos="708"/>
          <w:tab w:val="left" w:pos="5700" w:leader="none"/>
          <w:tab w:val="left" w:pos="6615" w:leader="none"/>
        </w:tabs>
        <w:spacing w:lineRule="auto" w:line="240" w:before="0" w:after="0"/>
        <w:contextualSpacing/>
        <w:jc w:val="both"/>
        <w:rPr>
          <w:rFonts w:ascii="Times New Roman" w:hAnsi="Times New Roman" w:eastAsia="" w:cs="Times New Roman" w:eastAsiaTheme="minorEastAsia"/>
          <w:bCs/>
          <w:sz w:val="28"/>
          <w:szCs w:val="28"/>
          <w:lang w:eastAsia="ru-RU"/>
        </w:rPr>
      </w:pPr>
      <w:r>
        <w:rPr>
          <w:rFonts w:eastAsia="" w:cs="Times New Roman" w:ascii="Times New Roman" w:hAnsi="Times New Roman" w:eastAsiaTheme="minorEastAsia"/>
          <w:bCs/>
          <w:sz w:val="28"/>
          <w:szCs w:val="28"/>
          <w:lang w:eastAsia="ru-RU"/>
        </w:rPr>
        <w:t xml:space="preserve">  </w:t>
      </w:r>
      <w:r>
        <w:rPr>
          <w:rFonts w:eastAsia="" w:cs="Times New Roman" w:ascii="Times New Roman" w:hAnsi="Times New Roman" w:eastAsiaTheme="minorEastAsia"/>
          <w:bCs/>
          <w:sz w:val="28"/>
          <w:szCs w:val="28"/>
          <w:lang w:eastAsia="ru-RU"/>
        </w:rPr>
        <w:t>Приложение № 2</w:t>
      </w:r>
    </w:p>
    <w:p>
      <w:pPr>
        <w:pStyle w:val="Normal"/>
        <w:widowControl w:val="false"/>
        <w:tabs>
          <w:tab w:val="clear" w:pos="708"/>
          <w:tab w:val="left" w:pos="5700" w:leader="none"/>
          <w:tab w:val="left" w:pos="6615" w:leader="none"/>
        </w:tabs>
        <w:spacing w:lineRule="auto" w:line="240" w:before="0" w:after="0"/>
        <w:contextualSpacing/>
        <w:jc w:val="both"/>
        <w:rPr>
          <w:rFonts w:ascii="Times New Roman" w:hAnsi="Times New Roman" w:eastAsia="" w:cs="Times New Roman" w:eastAsiaTheme="minorEastAsia"/>
          <w:bCs/>
          <w:sz w:val="28"/>
          <w:szCs w:val="28"/>
          <w:lang w:eastAsia="ru-RU"/>
        </w:rPr>
      </w:pPr>
      <w:r>
        <w:rPr>
          <w:rFonts w:eastAsia="" w:cs="Times New Roman" w:ascii="Times New Roman" w:hAnsi="Times New Roman" w:eastAsiaTheme="minorEastAsia"/>
          <w:bCs/>
          <w:sz w:val="28"/>
          <w:szCs w:val="28"/>
          <w:lang w:eastAsia="ru-RU"/>
        </w:rPr>
        <w:t xml:space="preserve">                                                                                 </w:t>
      </w:r>
      <w:r>
        <w:rPr>
          <w:rFonts w:eastAsia="" w:cs="Times New Roman" w:ascii="Times New Roman" w:hAnsi="Times New Roman" w:eastAsiaTheme="minorEastAsia"/>
          <w:bCs/>
          <w:sz w:val="28"/>
          <w:szCs w:val="28"/>
          <w:lang w:eastAsia="ru-RU"/>
        </w:rPr>
        <w:t>к приказу Департамента</w:t>
      </w:r>
    </w:p>
    <w:p>
      <w:pPr>
        <w:pStyle w:val="Normal"/>
        <w:widowControl w:val="false"/>
        <w:tabs>
          <w:tab w:val="clear" w:pos="708"/>
          <w:tab w:val="left" w:pos="5670" w:leader="none"/>
          <w:tab w:val="left" w:pos="6615" w:leader="none"/>
        </w:tabs>
        <w:spacing w:lineRule="auto" w:line="240" w:before="0" w:after="0"/>
        <w:ind w:left="5664"/>
        <w:contextualSpacing/>
        <w:jc w:val="both"/>
        <w:rPr>
          <w:rFonts w:ascii="Times New Roman" w:hAnsi="Times New Roman" w:eastAsia="" w:cs="Times New Roman" w:eastAsiaTheme="minorEastAsia"/>
          <w:bCs/>
          <w:sz w:val="28"/>
          <w:szCs w:val="28"/>
          <w:lang w:eastAsia="ru-RU"/>
        </w:rPr>
      </w:pPr>
      <w:r>
        <w:rPr>
          <w:rFonts w:eastAsia="" w:cs="Times New Roman" w:ascii="Times New Roman" w:hAnsi="Times New Roman" w:eastAsiaTheme="minorEastAsia"/>
          <w:bCs/>
          <w:sz w:val="28"/>
          <w:szCs w:val="28"/>
          <w:lang w:eastAsia="ru-RU"/>
        </w:rPr>
        <w:tab/>
        <w:t>здравоохранения города Севастополя</w:t>
      </w:r>
    </w:p>
    <w:p>
      <w:pPr>
        <w:pStyle w:val="Normal"/>
        <w:spacing w:lineRule="auto" w:line="240" w:before="0" w:after="0"/>
        <w:jc w:val="both"/>
        <w:rPr>
          <w:rFonts w:ascii="Times New Roman" w:hAnsi="Times New Roman" w:cs="Times New Roman"/>
          <w:sz w:val="28"/>
          <w:szCs w:val="28"/>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lang w:eastAsia="ru-RU"/>
        </w:rPr>
        <w:t>от ___________№   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rFonts w:ascii="Times New Roman" w:hAnsi="Times New Roman" w:eastAsia="Times New Roman" w:cs="Times New Roman"/>
          <w:sz w:val="28"/>
          <w:szCs w:val="28"/>
          <w:lang w:eastAsia="ar-SA"/>
        </w:rPr>
      </w:pPr>
      <w:r>
        <w:rPr/>
        <w:t xml:space="preserve">     </w:t>
      </w:r>
      <w:hyperlink w:anchor="P631">
        <w:r>
          <w:rPr>
            <w:rStyle w:val="ListLabel19"/>
            <w:rFonts w:eastAsia="Times New Roman" w:cs="Times New Roman" w:ascii="Times New Roman" w:hAnsi="Times New Roman"/>
            <w:sz w:val="28"/>
            <w:szCs w:val="28"/>
            <w:lang w:eastAsia="ar-SA"/>
          </w:rPr>
          <w:t>ПОЛОЖЕНИЕ</w:t>
        </w:r>
      </w:hyperlink>
    </w:p>
    <w:p>
      <w:pPr>
        <w:pStyle w:val="Header"/>
        <w:tabs>
          <w:tab w:val="center" w:pos="4677" w:leader="none"/>
          <w:tab w:val="left" w:pos="6915" w:leader="none"/>
          <w:tab w:val="right" w:pos="9355" w:leader="none"/>
        </w:tabs>
        <w:spacing w:before="0" w:after="0"/>
        <w:ind w:firstLine="709"/>
        <w:contextualSpacing/>
        <w:jc w:val="center"/>
        <w:rPr>
          <w:rFonts w:ascii="Times New Roman" w:hAnsi="Times New Roman" w:cs="Times New Roman"/>
          <w:sz w:val="28"/>
          <w:szCs w:val="28"/>
        </w:rPr>
      </w:pPr>
      <w:r>
        <w:rPr>
          <w:rFonts w:eastAsia="Times New Roman" w:cs="Times New Roman" w:ascii="Times New Roman" w:hAnsi="Times New Roman"/>
          <w:sz w:val="28"/>
          <w:szCs w:val="28"/>
          <w:lang w:eastAsia="ar-SA"/>
        </w:rPr>
        <w:t xml:space="preserve">о комиссии </w:t>
      </w:r>
      <w:r>
        <w:rPr>
          <w:rFonts w:cs="Times New Roman" w:ascii="Times New Roman" w:hAnsi="Times New Roman"/>
          <w:sz w:val="28"/>
          <w:szCs w:val="28"/>
        </w:rPr>
        <w:t>по согласованию</w:t>
      </w:r>
    </w:p>
    <w:p>
      <w:pPr>
        <w:pStyle w:val="Header"/>
        <w:tabs>
          <w:tab w:val="center" w:pos="4677" w:leader="none"/>
          <w:tab w:val="left" w:pos="6915" w:leader="none"/>
          <w:tab w:val="right" w:pos="9355" w:leader="none"/>
        </w:tabs>
        <w:spacing w:before="0" w:after="0"/>
        <w:ind w:left="709"/>
        <w:contextualSpacing/>
        <w:jc w:val="center"/>
        <w:rPr>
          <w:rFonts w:ascii="Times New Roman" w:hAnsi="Times New Roman" w:cs="Times New Roman"/>
          <w:sz w:val="28"/>
          <w:szCs w:val="28"/>
        </w:rPr>
      </w:pPr>
      <w:r>
        <w:rPr>
          <w:rFonts w:cs="Times New Roman" w:ascii="Times New Roman" w:hAnsi="Times New Roman"/>
          <w:sz w:val="28"/>
          <w:szCs w:val="28"/>
        </w:rPr>
        <w:t>в Департаменте здравоохранения города Севастополя лиц,     представляемых к награждению государственными наградами</w:t>
      </w:r>
    </w:p>
    <w:p>
      <w:pPr>
        <w:pStyle w:val="Header"/>
        <w:tabs>
          <w:tab w:val="center" w:pos="4677" w:leader="none"/>
          <w:tab w:val="left" w:pos="6915" w:leader="none"/>
          <w:tab w:val="right" w:pos="9355" w:leader="none"/>
        </w:tabs>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Российской Федерации и наградами города Севастополя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sz w:val="28"/>
          <w:szCs w:val="28"/>
        </w:rPr>
      </w:pPr>
      <w:r>
        <w:rPr>
          <w:rFonts w:cs="Times New Roman" w:ascii="Times New Roman" w:hAnsi="Times New Roman"/>
          <w:b w:val="false"/>
          <w:sz w:val="28"/>
          <w:szCs w:val="28"/>
        </w:rPr>
      </w:r>
    </w:p>
    <w:p>
      <w:pPr>
        <w:pStyle w:val="Heading1"/>
        <w:numPr>
          <w:ilvl w:val="0"/>
          <w:numId w:val="1"/>
        </w:numPr>
        <w:shd w:val="clear" w:color="auto" w:fill="FFFFFF"/>
        <w:tabs>
          <w:tab w:val="clear" w:pos="708"/>
          <w:tab w:val="left" w:pos="993" w:leader="none"/>
        </w:tabs>
        <w:spacing w:beforeAutospacing="0" w:before="0" w:afterAutospacing="0" w:after="0"/>
        <w:ind w:firstLine="709" w:left="0"/>
        <w:jc w:val="both"/>
        <w:rPr>
          <w:b w:val="false"/>
          <w:bCs w:val="false"/>
          <w:kern w:val="0"/>
          <w:sz w:val="28"/>
          <w:szCs w:val="28"/>
        </w:rPr>
      </w:pPr>
      <w:r>
        <w:rPr>
          <w:b w:val="false"/>
          <w:bCs w:val="false"/>
          <w:kern w:val="0"/>
          <w:sz w:val="28"/>
          <w:szCs w:val="28"/>
        </w:rPr>
        <w:t>Комиссия по согласованию в Департаменте здравоохранения города Севастополя лиц, представляемых к награждению государственными наградами Российской Федерации и наградами города Севастополя (далее – Комиссия) – коллегиальный орган, созданный при Департаменте здравоохранения города Севастополя (далее – Департамент) с целью рассмотрения ходатайств о награждении лиц государственными наградами Российской Федерации и наградами города Севастополя.</w:t>
      </w:r>
    </w:p>
    <w:p>
      <w:pPr>
        <w:pStyle w:val="Heading1"/>
        <w:numPr>
          <w:ilvl w:val="0"/>
          <w:numId w:val="1"/>
        </w:numPr>
        <w:shd w:val="clear" w:color="auto" w:fill="FFFFFF"/>
        <w:tabs>
          <w:tab w:val="clear" w:pos="708"/>
          <w:tab w:val="left" w:pos="993" w:leader="none"/>
        </w:tabs>
        <w:spacing w:beforeAutospacing="0" w:before="0" w:afterAutospacing="0" w:after="0"/>
        <w:ind w:firstLine="709" w:left="0"/>
        <w:jc w:val="both"/>
        <w:rPr>
          <w:b w:val="false"/>
          <w:bCs w:val="false"/>
          <w:kern w:val="0"/>
          <w:sz w:val="28"/>
          <w:szCs w:val="28"/>
        </w:rPr>
      </w:pPr>
      <w:r>
        <w:rPr>
          <w:b w:val="false"/>
          <w:bCs w:val="false"/>
          <w:kern w:val="0"/>
          <w:sz w:val="28"/>
          <w:szCs w:val="28"/>
        </w:rPr>
        <w:t>Комиссия состоит из председателя, заместителей председателя, секретаря и членов Комиссии. Состав Комиссии утверждается приказом Департамента.</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Председатель Комиссии назначается из числа заместителей директора Департамента.</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В период временного отсутствия председателя Комиссии руководство Комиссии осуществляет один из заместителей председателя Комиссии.</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 xml:space="preserve">Секретарем Комиссии назначается сотрудник отдела кадровой работы Организационно-правового управления Департамента. В период временного отсутствия его обязанности исполняет начальник отдела кадровой работы Организационно-правового управления Департамента. </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 xml:space="preserve">Секретарь Комиссии организует проведение заседаний Комиссий </w:t>
        <w:br/>
        <w:t>и обеспечивает работу Комиссии осуществляя:</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 подготовку и организацию проведения заседаний Комиссии;</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 xml:space="preserve">- ведение протокола заседания Комиссии. </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Секретарь Комиссии наделен правом голоса.</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Членами Комиссии назначаются сотрудники Департамента,  председатель Общественного совета при Департаменте, председатель Севастопольской территориальной организации профессионального союза работников здравоохранения Российской Федерации, руководитель региональной общественной организации «Ассоциация врачей Севастополя», руководитель региональной общественной организации «Ассоциация медицинских сестер города Севастополя».</w:t>
      </w:r>
    </w:p>
    <w:p>
      <w:pPr>
        <w:pStyle w:val="Heading1"/>
        <w:numPr>
          <w:ilvl w:val="0"/>
          <w:numId w:val="1"/>
        </w:numPr>
        <w:shd w:val="clear" w:color="auto" w:fill="FFFFFF"/>
        <w:tabs>
          <w:tab w:val="clear" w:pos="708"/>
          <w:tab w:val="left" w:pos="993" w:leader="none"/>
        </w:tabs>
        <w:spacing w:beforeAutospacing="0" w:before="0" w:afterAutospacing="0" w:after="0"/>
        <w:ind w:firstLine="709" w:left="0"/>
        <w:jc w:val="both"/>
        <w:rPr>
          <w:b w:val="false"/>
          <w:bCs w:val="false"/>
          <w:kern w:val="0"/>
          <w:sz w:val="28"/>
          <w:szCs w:val="28"/>
        </w:rPr>
      </w:pPr>
      <w:r>
        <w:rPr>
          <w:b w:val="false"/>
          <w:bCs w:val="false"/>
          <w:kern w:val="0"/>
          <w:sz w:val="28"/>
          <w:szCs w:val="28"/>
        </w:rPr>
        <w:t>Заседания Комиссии проводятся в соответствии со сроками рассмотрения ходатайств и документов, установленными пунктом 3 Порядка согласования в Департаменте лиц, представляемых к награждению государственными наградами Российской Федерации и наградами города Севастополя.</w:t>
      </w:r>
      <w:bookmarkStart w:id="14" w:name="_GoBack_Копия_2"/>
      <w:bookmarkEnd w:id="14"/>
    </w:p>
    <w:p>
      <w:pPr>
        <w:pStyle w:val="Heading1"/>
        <w:numPr>
          <w:ilvl w:val="0"/>
          <w:numId w:val="1"/>
        </w:numPr>
        <w:shd w:val="clear" w:color="auto" w:fill="FFFFFF"/>
        <w:tabs>
          <w:tab w:val="clear" w:pos="708"/>
          <w:tab w:val="left" w:pos="993" w:leader="none"/>
        </w:tabs>
        <w:spacing w:beforeAutospacing="0" w:before="0" w:afterAutospacing="0" w:after="0"/>
        <w:ind w:firstLine="709" w:left="0"/>
        <w:jc w:val="both"/>
        <w:rPr>
          <w:b w:val="false"/>
          <w:bCs w:val="false"/>
          <w:kern w:val="0"/>
          <w:sz w:val="28"/>
          <w:szCs w:val="28"/>
        </w:rPr>
      </w:pPr>
      <w:r>
        <w:rPr>
          <w:b w:val="false"/>
          <w:bCs w:val="false"/>
          <w:kern w:val="0"/>
          <w:sz w:val="28"/>
          <w:szCs w:val="28"/>
        </w:rPr>
        <w:t>Заседание Комиссии считается правомочным, если на нем присутствует не менее двух третей от общего числа ее членов.</w:t>
      </w:r>
    </w:p>
    <w:p>
      <w:pPr>
        <w:pStyle w:val="Heading1"/>
        <w:numPr>
          <w:ilvl w:val="0"/>
          <w:numId w:val="1"/>
        </w:numPr>
        <w:shd w:val="clear" w:color="auto" w:fill="FFFFFF"/>
        <w:tabs>
          <w:tab w:val="clear" w:pos="708"/>
          <w:tab w:val="left" w:pos="993" w:leader="none"/>
        </w:tabs>
        <w:spacing w:beforeAutospacing="0" w:before="0" w:afterAutospacing="0" w:after="0"/>
        <w:ind w:firstLine="709" w:left="0"/>
        <w:jc w:val="both"/>
        <w:rPr>
          <w:b w:val="false"/>
          <w:bCs w:val="false"/>
          <w:kern w:val="0"/>
          <w:sz w:val="28"/>
          <w:szCs w:val="28"/>
        </w:rPr>
      </w:pPr>
      <w:r>
        <w:rPr>
          <w:b w:val="false"/>
          <w:bCs w:val="false"/>
          <w:kern w:val="0"/>
          <w:sz w:val="28"/>
          <w:szCs w:val="28"/>
        </w:rPr>
        <w:t>Решения Комиссии по результатам проведения заседания принимаются открытым голосованием простым большинством голосов ее членов, присутствующих на заседании.</w:t>
      </w:r>
    </w:p>
    <w:p>
      <w:pPr>
        <w:pStyle w:val="Heading1"/>
        <w:shd w:val="clear" w:color="auto" w:fill="FFFFFF"/>
        <w:tabs>
          <w:tab w:val="clear" w:pos="708"/>
          <w:tab w:val="left" w:pos="993" w:leader="none"/>
        </w:tabs>
        <w:spacing w:beforeAutospacing="0" w:before="0" w:afterAutospacing="0" w:after="0"/>
        <w:ind w:firstLine="709"/>
        <w:jc w:val="both"/>
        <w:rPr>
          <w:b w:val="false"/>
          <w:bCs w:val="false"/>
          <w:kern w:val="0"/>
          <w:sz w:val="28"/>
          <w:szCs w:val="28"/>
        </w:rPr>
      </w:pPr>
      <w:r>
        <w:rPr>
          <w:b w:val="false"/>
          <w:bCs w:val="false"/>
          <w:kern w:val="0"/>
          <w:sz w:val="28"/>
          <w:szCs w:val="28"/>
        </w:rPr>
        <w:t>При равенстве голосов решающим является голос председательствующего на заседании Комиссии.</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Комиссия может принять следующие решения: </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 о поддержке ходатайства о награждении; </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 о нецелесообразности или несвоевременности награждения.  </w:t>
      </w:r>
    </w:p>
    <w:p>
      <w:pPr>
        <w:pStyle w:val="Heading1"/>
        <w:numPr>
          <w:ilvl w:val="0"/>
          <w:numId w:val="1"/>
        </w:numPr>
        <w:shd w:val="clear" w:color="auto" w:fill="FFFFFF"/>
        <w:tabs>
          <w:tab w:val="clear" w:pos="708"/>
          <w:tab w:val="left" w:pos="993" w:leader="none"/>
        </w:tabs>
        <w:spacing w:beforeAutospacing="0" w:before="0" w:afterAutospacing="0" w:after="0"/>
        <w:ind w:firstLine="709" w:left="0"/>
        <w:jc w:val="both"/>
        <w:rPr>
          <w:b w:val="false"/>
          <w:bCs w:val="false"/>
          <w:kern w:val="0"/>
          <w:sz w:val="28"/>
          <w:szCs w:val="28"/>
        </w:rPr>
      </w:pPr>
      <w:r>
        <w:rPr>
          <w:b w:val="false"/>
          <w:bCs w:val="false"/>
          <w:kern w:val="0"/>
          <w:sz w:val="28"/>
          <w:szCs w:val="28"/>
        </w:rPr>
        <w:t>Результаты голосования оформляются протоколом Комиссии, который подписывается председателем, заместителями председателя, секретарем и членами Комиссии.</w:t>
      </w:r>
    </w:p>
    <w:p>
      <w:pPr>
        <w:pStyle w:val="Heading1"/>
        <w:shd w:val="clear" w:color="auto" w:fill="FFFFFF"/>
        <w:tabs>
          <w:tab w:val="clear" w:pos="708"/>
          <w:tab w:val="left" w:pos="993" w:leader="none"/>
        </w:tabs>
        <w:spacing w:beforeAutospacing="0" w:before="0" w:afterAutospacing="0" w:after="0"/>
        <w:jc w:val="both"/>
        <w:rPr>
          <w:b w:val="false"/>
          <w:sz w:val="28"/>
          <w:szCs w:val="28"/>
        </w:rPr>
      </w:pPr>
      <w:r>
        <w:rPr>
          <w:b w:val="false"/>
          <w:sz w:val="28"/>
          <w:szCs w:val="28"/>
        </w:rPr>
      </w:r>
    </w:p>
    <w:p>
      <w:pPr>
        <w:pStyle w:val="Heading1"/>
        <w:shd w:val="clear" w:color="auto" w:fill="FFFFFF"/>
        <w:tabs>
          <w:tab w:val="clear" w:pos="708"/>
          <w:tab w:val="left" w:pos="993" w:leader="none"/>
        </w:tabs>
        <w:spacing w:beforeAutospacing="0" w:before="0" w:afterAutospacing="0" w:after="0"/>
        <w:jc w:val="center"/>
        <w:rPr>
          <w:b w:val="false"/>
          <w:sz w:val="28"/>
          <w:szCs w:val="28"/>
        </w:rPr>
      </w:pPr>
      <w:r>
        <w:rPr>
          <w:b w:val="false"/>
          <w:sz w:val="28"/>
          <w:szCs w:val="28"/>
        </w:rPr>
        <w:t>________________</w:t>
      </w:r>
    </w:p>
    <w:p>
      <w:pPr>
        <w:pStyle w:val="Normal"/>
        <w:rPr>
          <w:lang w:eastAsia="ru-RU"/>
        </w:rPr>
      </w:pPr>
      <w:r>
        <w:rPr>
          <w:lang w:eastAsia="ru-RU"/>
        </w:rPr>
      </w:r>
    </w:p>
    <w:p>
      <w:pPr>
        <w:pStyle w:val="Normal"/>
        <w:rPr>
          <w:lang w:eastAsia="ru-RU"/>
        </w:rPr>
      </w:pPr>
      <w:r>
        <w:rPr>
          <w:lang w:eastAsia="ru-RU"/>
        </w:rPr>
      </w:r>
    </w:p>
    <w:p>
      <w:pPr>
        <w:pStyle w:val="Normal"/>
        <w:spacing w:before="0" w:after="200"/>
        <w:rPr>
          <w:lang w:eastAsia="ru-RU"/>
        </w:rPr>
      </w:pPr>
      <w:r>
        <w:rPr>
          <w:lang w:eastAsia="ru-RU"/>
        </w:rPr>
      </w:r>
    </w:p>
    <w:sectPr>
      <w:headerReference w:type="default" r:id="rId4"/>
      <w:headerReference w:type="first" r:id="rId5"/>
      <w:type w:val="nextPage"/>
      <w:pgSz w:w="11906" w:h="16838"/>
      <w:pgMar w:left="1701" w:right="850" w:gutter="0" w:header="708" w:top="1134" w:footer="0" w:bottom="709"/>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 Sans">
    <w:charset w:val="01"/>
    <w:family w:val="swiss"/>
    <w:pitch w:val="variable"/>
  </w:font>
  <w:font w:name="Arial">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29033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29033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94" w:hanging="585"/>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d303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qFormat/>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cd3030"/>
    <w:rPr/>
  </w:style>
  <w:style w:type="character" w:styleId="Style14" w:customStyle="1">
    <w:name w:val="Нижний колонтитул Знак"/>
    <w:basedOn w:val="DefaultParagraphFont"/>
    <w:uiPriority w:val="99"/>
    <w:qFormat/>
    <w:rsid w:val="00de46ae"/>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Колонтитул"/>
    <w:basedOn w:val="Normal"/>
    <w:qFormat/>
    <w:pPr/>
    <w:rPr/>
  </w:style>
  <w:style w:type="paragraph" w:styleId="Header">
    <w:name w:val="Header"/>
    <w:basedOn w:val="Normal"/>
    <w:link w:val="Style13"/>
    <w:uiPriority w:val="99"/>
    <w:unhideWhenUsed/>
    <w:rsid w:val="00cd3030"/>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cd3030"/>
    <w:pPr>
      <w:widowControl w:val="false"/>
      <w:bidi w:val="0"/>
      <w:spacing w:lineRule="auto" w:line="240" w:before="0" w:after="0"/>
      <w:jc w:val="left"/>
    </w:pPr>
    <w:rPr>
      <w:rFonts w:ascii="Times New Roman" w:hAnsi="Times New Roman" w:eastAsia="" w:cs="Times New Roman" w:eastAsiaTheme="minorEastAsia"/>
      <w:color w:val="auto"/>
      <w:kern w:val="0"/>
      <w:sz w:val="24"/>
      <w:szCs w:val="24"/>
      <w:lang w:eastAsia="ru-RU" w:val="ru-RU" w:bidi="ar-SA"/>
    </w:rPr>
  </w:style>
  <w:style w:type="paragraph" w:styleId="ConsPlusTitle" w:customStyle="1">
    <w:name w:val="ConsPlusTitle"/>
    <w:uiPriority w:val="99"/>
    <w:qFormat/>
    <w:rsid w:val="00cd3030"/>
    <w:pPr>
      <w:widowControl w:val="false"/>
      <w:bidi w:val="0"/>
      <w:spacing w:lineRule="auto" w:line="240" w:before="0" w:after="0"/>
      <w:jc w:val="left"/>
    </w:pPr>
    <w:rPr>
      <w:rFonts w:ascii="Arial" w:hAnsi="Arial" w:eastAsia="" w:cs="Arial" w:eastAsiaTheme="minorEastAsia"/>
      <w:b/>
      <w:bCs/>
      <w:color w:val="auto"/>
      <w:kern w:val="0"/>
      <w:sz w:val="24"/>
      <w:szCs w:val="24"/>
      <w:lang w:eastAsia="ru-RU" w:val="ru-RU" w:bidi="ar-SA"/>
    </w:rPr>
  </w:style>
  <w:style w:type="paragraph" w:styleId="Footer">
    <w:name w:val="Footer"/>
    <w:basedOn w:val="Normal"/>
    <w:link w:val="Style14"/>
    <w:uiPriority w:val="99"/>
    <w:unhideWhenUsed/>
    <w:rsid w:val="00de46ae"/>
    <w:pPr>
      <w:tabs>
        <w:tab w:val="clear" w:pos="708"/>
        <w:tab w:val="center" w:pos="4677" w:leader="none"/>
        <w:tab w:val="right" w:pos="9355" w:leader="none"/>
      </w:tabs>
      <w:spacing w:lineRule="auto" w:line="240" w:before="0" w:after="0"/>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LibreOffice/7.6.7.2$Linux_X86_64 LibreOffice_project/60$Build-2</Application>
  <AppVersion>15.0000</AppVersion>
  <Pages>5</Pages>
  <Words>876</Words>
  <Characters>7137</Characters>
  <CharactersWithSpaces>8297</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2022-07-12T13:47:00Z</dcterms:created>
  <dc:creator>Рябогин А В</dc:creator>
  <dc:description/>
  <dc:language>ru-RU</dc:language>
  <cp:lastModifiedBy/>
  <dcterms:modified xsi:type="dcterms:W3CDTF">2026-07-03T11:13:48Z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