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media/image1.png" ContentType="image/png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7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94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3084"/>
        <w:gridCol w:w="3076"/>
      </w:tblGrid>
      <w:tr>
        <w:trPr>
          <w:trHeight w:val="1252" w:hRule="atLeast"/>
        </w:trPr>
        <w:tc>
          <w:tcPr>
            <w:tcW w:w="329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  <w:bookmarkStart w:id="0" w:name="OLE_LINK6"/>
            <w:bookmarkStart w:id="1" w:name="OLE_LINK5"/>
            <w:bookmarkStart w:id="2" w:name="OLE_LINK2"/>
            <w:bookmarkStart w:id="3" w:name="OLE_LINK1"/>
            <w:bookmarkStart w:id="4" w:name="OLE_LINK4"/>
            <w:bookmarkStart w:id="5" w:name="OLE_LINK3"/>
            <w:bookmarkStart w:id="6" w:name="OLE_LINK6"/>
            <w:bookmarkStart w:id="7" w:name="OLE_LINK5"/>
            <w:bookmarkStart w:id="8" w:name="OLE_LINK2"/>
            <w:bookmarkStart w:id="9" w:name="OLE_LINK1"/>
            <w:bookmarkStart w:id="10" w:name="OLE_LINK4"/>
            <w:bookmarkStart w:id="11" w:name="OLE_LINK3"/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3084" w:type="dxa"/>
            <w:tcBorders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/>
              <w:drawing>
                <wp:inline distT="0" distB="0" distL="0" distR="0">
                  <wp:extent cx="617855" cy="70739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603" t="-484" r="-603" b="-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ПРАВИТЕЛЬСТВО СЕВАСТОПОЛЯ</w:t>
      </w:r>
    </w:p>
    <w:p>
      <w:pPr>
        <w:pStyle w:val="Normal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rPr>
          <w:b/>
          <w:sz w:val="16"/>
          <w:szCs w:val="16"/>
          <w:lang w:val="uk-UA" w:eastAsia="ru-RU"/>
        </w:rPr>
      </w:pPr>
      <w:r>
        <w:rPr>
          <w:b/>
          <w:sz w:val="16"/>
          <w:szCs w:val="16"/>
          <w:lang w:val="uk-UA" w:eastAsia="ru-RU"/>
        </w:rPr>
        <mc:AlternateContent>
          <mc:Choice Requires="wps">
            <w:drawing>
              <wp:anchor behindDoc="0" distT="28575" distB="28575" distL="0" distR="0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943600" cy="635"/>
                <wp:effectExtent l="0" t="28575" r="0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35pt" to="467.95pt,0.35pt" ID="Фигура1" stroked="t" o:allowincell="f" style="position:absolute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ind w:hanging="0" w:left="0" w:righ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</w:rPr>
        <w:t>П Р И К А З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«__» ________________</w:t>
        <w:tab/>
        <w:tab/>
        <w:tab/>
        <w:tab/>
        <w:tab/>
        <w:tab/>
        <w:t xml:space="preserve">  №______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1"/>
        <w:spacing w:before="0" w:after="320"/>
        <w:ind w:hanging="0"/>
        <w:jc w:val="both"/>
        <w:rPr/>
      </w:pPr>
      <w:r>
        <w:rPr/>
        <w:t>Об утверждении порядка передачи от медицинской организации пациенту (его законному представителю) медицинских изделий, предназначенных               для поддержания функций органов и систем организма человека,                        для использования на дому при оказании паллиативной медицинской помощи в городе Севастополе</w:t>
      </w:r>
    </w:p>
    <w:p>
      <w:pPr>
        <w:pStyle w:val="111"/>
        <w:spacing w:before="0" w:after="320"/>
        <w:ind w:firstLine="72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ru-RU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ru-RU"/>
        </w:rPr>
        <w:t xml:space="preserve">Во исполнение Федерального закона от 21.11.2011 № 323-ФЗ                «Об основах охраны здоровья граждан в Российской Федерации», приказа Минздрава России 208н, Минтруда России № 243н от 14.04.2025                          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здоровья», приказов Министерства здравоохранения Российской Федерации от 10.07.2019 № 505н                             «Об утверждении Порядка передачи от медицинской организации пациенту (его законному представителю) медицинских изделий, предназначенных  для поддержания функций органов и систем организма человека, для использования на дому при оказании паллиативной медицинской помощи» и от 09.07.2025 № 398н «Об утверждении перечня медицинских изделий, предназначенных для поддержания функций органов и систем организма человека, предоставляемых пациенту                     при оказании паллиативной медицинской помощи для использования                      на дому», в целях повышения доступности и качества паллиативной медицинской помощи городе Севастополе </w:t>
      </w:r>
    </w:p>
    <w:p>
      <w:pPr>
        <w:pStyle w:val="111"/>
        <w:spacing w:before="0" w:after="320"/>
        <w:ind w:hanging="0"/>
        <w:jc w:val="center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ru-RU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ru-RU"/>
        </w:rPr>
        <w:t>ПРИКАЗЫВАЮ:</w:t>
      </w:r>
    </w:p>
    <w:p>
      <w:pPr>
        <w:pStyle w:val="111"/>
        <w:tabs>
          <w:tab w:val="clear" w:pos="708"/>
          <w:tab w:val="left" w:pos="1026" w:leader="none"/>
        </w:tabs>
        <w:ind w:firstLine="700"/>
        <w:jc w:val="both"/>
        <w:rPr/>
      </w:pPr>
      <w:r>
        <w:rPr/>
        <w:t>1. Утвердить: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1134" w:top="1559" w:footer="0" w:bottom="1134"/>
          <w:pgNumType w:start="1" w:fmt="decimal"/>
          <w:formProt w:val="false"/>
          <w:textDirection w:val="lrTb"/>
          <w:docGrid w:type="default" w:linePitch="360" w:charSpace="0"/>
        </w:sectPr>
        <w:pStyle w:val="111"/>
        <w:tabs>
          <w:tab w:val="clear" w:pos="708"/>
          <w:tab w:val="left" w:pos="1244" w:leader="none"/>
        </w:tabs>
        <w:ind w:hanging="0"/>
        <w:jc w:val="both"/>
        <w:rPr/>
      </w:pPr>
      <w:r>
        <w:rPr/>
        <w:t xml:space="preserve">   </w:t>
      </w:r>
      <w:r>
        <w:rPr/>
        <w:t xml:space="preserve">Порядок передачи от медицинской организации пациенту                          и (или) его законному представителю медицинских изделий, предназначенных для поддержания функций органов и систем организма </w:t>
      </w:r>
    </w:p>
    <w:p>
      <w:pPr>
        <w:pStyle w:val="111"/>
        <w:tabs>
          <w:tab w:val="clear" w:pos="708"/>
          <w:tab w:val="left" w:pos="1244" w:leader="none"/>
        </w:tabs>
        <w:ind w:hanging="0"/>
        <w:jc w:val="both"/>
        <w:rPr/>
      </w:pPr>
      <w:r>
        <w:rPr/>
        <w:t>человека, для использования на дому при оказании паллиативной медицинской помощи в соответствии с приложением к данному пркиазу.</w:t>
      </w:r>
    </w:p>
    <w:p>
      <w:pPr>
        <w:pStyle w:val="111"/>
        <w:tabs>
          <w:tab w:val="clear" w:pos="708"/>
          <w:tab w:val="left" w:pos="1033" w:leader="none"/>
        </w:tabs>
        <w:ind w:firstLine="720"/>
        <w:jc w:val="both"/>
        <w:rPr/>
      </w:pPr>
      <w:r>
        <w:rPr/>
        <w:t>2. Главным врачам медицинских организаций, подведомственных Департаменту здравоохранения города Севастополя, в которых пациент получает паллиативную медицинскую помощь в амбулаторных условиях обеспечить:</w:t>
      </w:r>
    </w:p>
    <w:p>
      <w:pPr>
        <w:pStyle w:val="111"/>
        <w:tabs>
          <w:tab w:val="clear" w:pos="708"/>
          <w:tab w:val="left" w:pos="1244" w:leader="none"/>
        </w:tabs>
        <w:ind w:firstLine="720"/>
        <w:jc w:val="both"/>
        <w:rPr/>
      </w:pPr>
      <w:r>
        <w:rPr/>
        <w:t>2.1. Сбор и предоставлении документов на врачебную комиссию медицинского учреждения лечащими врачами, оказывающими амбулаторную помощь пациенту, для принятия решения о передаче пациенту (его законному представителю) медицинских изделий                                           для использования  на дому;</w:t>
      </w:r>
    </w:p>
    <w:p>
      <w:pPr>
        <w:pStyle w:val="111"/>
        <w:tabs>
          <w:tab w:val="clear" w:pos="708"/>
          <w:tab w:val="left" w:pos="1249" w:leader="none"/>
        </w:tabs>
        <w:ind w:firstLine="720"/>
        <w:jc w:val="both"/>
        <w:rPr/>
      </w:pPr>
      <w:r>
        <w:rPr/>
        <w:t>2.2. Работу врачебной комиссии для принятия решения о передаче пациенту (его законному представителю) медицинских изделий                               для использования на дому в течение трех рабочих дней со дня поступления документов от лечащего врача согласно Порядка;</w:t>
      </w:r>
    </w:p>
    <w:p>
      <w:pPr>
        <w:pStyle w:val="111"/>
        <w:tabs>
          <w:tab w:val="clear" w:pos="708"/>
          <w:tab w:val="left" w:pos="1239" w:leader="none"/>
        </w:tabs>
        <w:ind w:firstLine="720"/>
        <w:jc w:val="both"/>
        <w:rPr/>
      </w:pPr>
      <w:r>
        <w:rPr/>
        <w:t>2.3. Направление решения о передаче пациенту (его законному представителю) медицинских изделий в структурное подразделение медицинской организации, обеспечивающей организацию передачи пациенту (его законному представителю) медицинского изделия.</w:t>
      </w:r>
    </w:p>
    <w:p>
      <w:pPr>
        <w:pStyle w:val="111"/>
        <w:tabs>
          <w:tab w:val="clear" w:pos="708"/>
          <w:tab w:val="left" w:pos="1033" w:leader="none"/>
        </w:tabs>
        <w:ind w:firstLine="720"/>
        <w:jc w:val="both"/>
        <w:rPr/>
      </w:pPr>
      <w:r>
        <w:rPr/>
        <w:t>3. Главным врачам медицинских организаций, подведомственных Департаменту здравоохранения города Севастополя, в которых пациент получает паллиативную медицинскую помощь в стационарных условиях обеспечить:</w:t>
      </w:r>
    </w:p>
    <w:p>
      <w:pPr>
        <w:pStyle w:val="111"/>
        <w:tabs>
          <w:tab w:val="clear" w:pos="708"/>
          <w:tab w:val="left" w:pos="1239" w:leader="none"/>
        </w:tabs>
        <w:ind w:firstLine="720"/>
        <w:jc w:val="both"/>
        <w:rPr/>
      </w:pPr>
      <w:r>
        <w:rPr/>
        <w:t xml:space="preserve">3.1. Предоставление заявки на медицинские изделия                               для использования на дому в Комиссию Департамента </w:t>
      </w:r>
      <w:r>
        <w:rPr>
          <w:rFonts w:cs="Times New Roman"/>
          <w:sz w:val="28"/>
          <w:szCs w:val="28"/>
        </w:rPr>
        <w:t xml:space="preserve">по рассмотрению                 и согласованию предложений-обоснований потребности в приобретении оборудования, изделий, программного обеспечения, авиационных работ, канцелярских </w:t>
      </w:r>
      <w:bookmarkStart w:id="13" w:name="_Hlk195188116"/>
      <w:r>
        <w:rPr>
          <w:rFonts w:cs="Times New Roman"/>
          <w:sz w:val="28"/>
          <w:szCs w:val="28"/>
        </w:rPr>
        <w:t>и сопутствующих товаров, путевок для санаторно-курортного лечения, материальных резервов для проведения первоочередных мероприятий при угрозе и возникновении чрезвычайных ситуаций военного времени в целях оказания медицинской помощи в рамках реализации мероприятий программ</w:t>
      </w:r>
      <w:bookmarkEnd w:id="13"/>
      <w:r>
        <w:rPr/>
        <w:t xml:space="preserve"> с учетом годовой потребности и (или) нуждаемости пациента. </w:t>
      </w:r>
    </w:p>
    <w:p>
      <w:pPr>
        <w:pStyle w:val="111"/>
        <w:tabs>
          <w:tab w:val="clear" w:pos="708"/>
          <w:tab w:val="left" w:pos="1239" w:leader="none"/>
        </w:tabs>
        <w:ind w:firstLine="720"/>
        <w:jc w:val="both"/>
        <w:rPr/>
      </w:pPr>
      <w:r>
        <w:rPr/>
        <w:t>Заявка на приобретение медицинских изделий, планируемых                       для передачи пациентам для использования на дому, подаются                          в Департамент здравоохранения города Севастополя в срок не позднее 10 ноября года, предшествующего году для обеспечения пациента медицинскими изделиями для использования на дому при оказании паллиативной медицинской помощи.</w:t>
      </w:r>
    </w:p>
    <w:p>
      <w:pPr>
        <w:pStyle w:val="111"/>
        <w:tabs>
          <w:tab w:val="clear" w:pos="708"/>
          <w:tab w:val="left" w:pos="1239" w:leader="none"/>
        </w:tabs>
        <w:ind w:firstLine="720"/>
        <w:jc w:val="both"/>
        <w:rPr/>
      </w:pPr>
      <w:r>
        <w:rPr/>
        <w:t xml:space="preserve">Для вновь выявленных паллиативных пациентов заявка                              о необходимости приобретения медицинских изделий, планируемых                   для передачи пациентам для использования на дому, подается в течении одного месяца, после установления пациенту статуса паллиативного больного. </w:t>
      </w:r>
    </w:p>
    <w:p>
      <w:pPr>
        <w:pStyle w:val="111"/>
        <w:tabs>
          <w:tab w:val="clear" w:pos="708"/>
          <w:tab w:val="left" w:pos="1249" w:leader="none"/>
        </w:tabs>
        <w:ind w:firstLine="720"/>
        <w:jc w:val="both"/>
        <w:rPr/>
      </w:pPr>
      <w:r>
        <w:rPr/>
        <w:t>3.2. Получение на основании ранее поданной заявки и передачу пациенту (его законному представителю) медицинских изделий в течение пяти рабочих дней с даты принятия решения врачебной комиссией                        на основании договора, заключаемого в соответствии с гражданским законодательством Российской Федерации, с учетом месячной потребности  и (или) нуждаемости пациента.</w:t>
      </w:r>
    </w:p>
    <w:p>
      <w:pPr>
        <w:pStyle w:val="111"/>
        <w:tabs>
          <w:tab w:val="clear" w:pos="708"/>
          <w:tab w:val="left" w:pos="1249" w:leader="none"/>
        </w:tabs>
        <w:ind w:firstLine="720"/>
        <w:jc w:val="both"/>
        <w:rPr/>
      </w:pPr>
      <w:r>
        <w:rPr/>
        <w:t xml:space="preserve">4. Признать утратившим силу приказ </w:t>
      </w:r>
      <w:r>
        <w:rPr>
          <w:rFonts w:eastAsia="Times New Roman" w:cs="Times New Roman"/>
          <w:sz w:val="28"/>
          <w:szCs w:val="28"/>
        </w:rPr>
        <w:t>Департамента здравоохранения города Севастополя от 13.02.2020 № 199 «Об утверждении порядка передачи от медицинской организации пациенту (его законному представителю) медицинских изделий, предназначенных для поддержания функций органов и систем организма человека, для использования на дому при оказании паллиативной медицинской помощи в городе Севастополе».</w:t>
      </w:r>
    </w:p>
    <w:p>
      <w:pPr>
        <w:pStyle w:val="Style25"/>
        <w:widowControl w:val="false"/>
        <w:suppressAutoHyphens w:val="true"/>
        <w:bidi w:val="0"/>
        <w:spacing w:before="0" w:after="0"/>
        <w:ind w:firstLine="283" w:left="0" w:right="0"/>
        <w:jc w:val="both"/>
        <w:rPr/>
      </w:pPr>
      <w:r>
        <w:rPr/>
        <w:tab/>
        <w:t>5. Контроль за исполнением настоящего приказа на первого заместителя директора Департамента Островскую А.В.</w:t>
      </w:r>
    </w:p>
    <w:p>
      <w:pPr>
        <w:pStyle w:val="Normal"/>
        <w:ind w:hanging="10" w:left="10" w:right="0"/>
        <w:jc w:val="both"/>
        <w:rPr>
          <w:rFonts w:ascii="Calibri" w:hAnsi="Calibri" w:eastAsia="Calibri" w:cs="Calibri"/>
          <w:bCs/>
          <w:color w:val="000000"/>
          <w:sz w:val="28"/>
          <w:szCs w:val="28"/>
        </w:rPr>
      </w:pPr>
      <w:r>
        <w:rPr>
          <w:rFonts w:eastAsia="Calibri" w:cs="Calibri" w:ascii="Calibri" w:hAnsi="Calibri"/>
          <w:bCs/>
          <w:color w:val="000000"/>
          <w:sz w:val="28"/>
          <w:szCs w:val="28"/>
        </w:rPr>
      </w:r>
    </w:p>
    <w:p>
      <w:pPr>
        <w:pStyle w:val="21"/>
        <w:shd w:val="clear" w:fill="auto"/>
        <w:tabs>
          <w:tab w:val="clear" w:pos="708"/>
          <w:tab w:val="left" w:pos="0" w:leader="none"/>
          <w:tab w:val="left" w:pos="855" w:leader="none"/>
        </w:tabs>
        <w:spacing w:lineRule="auto" w:line="240" w:before="0" w:after="0"/>
        <w:ind w:hanging="0" w:left="0" w:right="0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Директор Департамента здравоохранения</w:t>
      </w:r>
    </w:p>
    <w:p>
      <w:pPr>
        <w:pStyle w:val="Normal"/>
        <w:tabs>
          <w:tab w:val="clear" w:pos="708"/>
          <w:tab w:val="left" w:pos="0" w:leader="none"/>
        </w:tabs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города Севастополя – </w:t>
      </w:r>
    </w:p>
    <w:p>
      <w:pPr>
        <w:pStyle w:val="Normal"/>
        <w:tabs>
          <w:tab w:val="clear" w:pos="708"/>
          <w:tab w:val="left" w:pos="0" w:leader="none"/>
        </w:tabs>
        <w:rPr>
          <w:color w:val="000000"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член Правительства Севастополя                                                В.С. Денисов</w:t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21"/>
        <w:shd w:val="clear" w:fill="auto"/>
        <w:tabs>
          <w:tab w:val="clear" w:pos="708"/>
          <w:tab w:val="left" w:pos="9355" w:leader="none"/>
        </w:tabs>
        <w:spacing w:lineRule="auto" w:line="240" w:before="0" w:after="0"/>
        <w:ind w:hanging="0" w:left="5387" w:right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Normal"/>
        <w:rPr/>
      </w:pPr>
      <w:r>
        <w:rPr/>
      </w:r>
    </w:p>
    <w:p>
      <w:pPr>
        <w:sectPr>
          <w:headerReference w:type="default" r:id="rId4"/>
          <w:headerReference w:type="first" r:id="rId5"/>
          <w:type w:val="nextPage"/>
          <w:pgSz w:w="11906" w:h="16838"/>
          <w:pgMar w:left="1984" w:right="567" w:gutter="0" w:header="1134" w:top="1559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right"/>
        <w:rPr/>
      </w:pPr>
      <w:r>
        <w:rPr/>
      </w:r>
    </w:p>
    <w:p>
      <w:pPr>
        <w:pStyle w:val="Normal"/>
        <w:widowControl w:val="false"/>
        <w:shd w:val="clear" w:fill="FFFFFF"/>
        <w:bidi w:val="0"/>
        <w:spacing w:lineRule="auto" w:line="240" w:before="0" w:after="238"/>
        <w:ind w:hanging="0" w:left="5613" w:right="0"/>
        <w:contextualSpacing/>
        <w:jc w:val="left"/>
        <w:textAlignment w:val="baseline"/>
        <w:rPr>
          <w:rFonts w:ascii="Times New Roman" w:hAnsi="Times New Roman" w:eastAsia="Times New Roman" w:cs="Arial"/>
          <w:color w:val="444444"/>
          <w:sz w:val="28"/>
          <w:szCs w:val="28"/>
        </w:rPr>
      </w:pPr>
      <w:r>
        <w:rPr>
          <w:rFonts w:eastAsia="Times New Roman" w:cs="Arial"/>
          <w:color w:val="444444"/>
          <w:sz w:val="28"/>
          <w:szCs w:val="28"/>
        </w:rPr>
      </w:r>
    </w:p>
    <w:p>
      <w:pPr>
        <w:pStyle w:val="Normal"/>
        <w:widowControl w:val="false"/>
        <w:shd w:val="clear" w:fill="FFFFFF"/>
        <w:bidi w:val="0"/>
        <w:spacing w:lineRule="auto" w:line="240" w:before="0" w:after="238"/>
        <w:ind w:hanging="0" w:left="5613" w:right="0"/>
        <w:contextualSpacing/>
        <w:jc w:val="left"/>
        <w:textAlignment w:val="baseline"/>
        <w:rPr>
          <w:rFonts w:ascii="Times New Roman" w:hAnsi="Times New Roman" w:eastAsia="Times New Roman" w:cs="Arial"/>
          <w:color w:val="444444"/>
          <w:sz w:val="28"/>
          <w:szCs w:val="28"/>
        </w:rPr>
      </w:pPr>
      <w:bookmarkStart w:id="14" w:name="PageNumWizard_HEADER_Converted28_Копия_1"/>
      <w:bookmarkEnd w:id="14"/>
      <w:r>
        <w:rPr>
          <w:rFonts w:eastAsia="Times New Roman" w:cs="Arial"/>
          <w:color w:val="444444"/>
          <w:sz w:val="28"/>
          <w:szCs w:val="28"/>
        </w:rPr>
        <w:t xml:space="preserve">Приложение </w:t>
      </w:r>
    </w:p>
    <w:p>
      <w:pPr>
        <w:pStyle w:val="Normal"/>
        <w:widowControl w:val="false"/>
        <w:shd w:val="clear" w:fill="FFFFFF"/>
        <w:bidi w:val="0"/>
        <w:spacing w:lineRule="auto" w:line="240" w:before="0" w:after="238"/>
        <w:ind w:hanging="0" w:left="5613" w:right="0"/>
        <w:contextualSpacing/>
        <w:jc w:val="left"/>
        <w:textAlignment w:val="baseline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приказу Департамента здравоохранения </w:t>
      </w:r>
    </w:p>
    <w:p>
      <w:pPr>
        <w:pStyle w:val="Normal"/>
        <w:widowControl w:val="false"/>
        <w:shd w:val="clear" w:fill="FFFFFF"/>
        <w:bidi w:val="0"/>
        <w:spacing w:lineRule="auto" w:line="240" w:before="0" w:after="238"/>
        <w:ind w:hanging="0" w:left="5613" w:right="0"/>
        <w:contextualSpacing/>
        <w:jc w:val="left"/>
        <w:textAlignment w:val="baseline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города Севастополя </w:t>
      </w:r>
    </w:p>
    <w:p>
      <w:pPr>
        <w:pStyle w:val="Normal"/>
        <w:widowControl w:val="false"/>
        <w:shd w:val="clear" w:fill="FFFFFF"/>
        <w:bidi w:val="0"/>
        <w:spacing w:lineRule="auto" w:line="240" w:before="0" w:after="238"/>
        <w:ind w:hanging="0" w:left="5613" w:right="0"/>
        <w:contextualSpacing/>
        <w:jc w:val="left"/>
        <w:textAlignment w:val="baseline"/>
        <w:rPr>
          <w:rFonts w:ascii="Times New Roman" w:hAnsi="Times New Roman" w:eastAsia="Times New Roman"/>
          <w:color w:val="404040"/>
          <w:sz w:val="28"/>
          <w:szCs w:val="28"/>
          <w:u w:val="none"/>
          <w:lang w:eastAsia="en-US" w:bidi="en-US"/>
        </w:rPr>
      </w:pPr>
      <w:r>
        <w:rPr>
          <w:rFonts w:eastAsia="Times New Roman"/>
          <w:color w:val="404040"/>
          <w:sz w:val="28"/>
          <w:szCs w:val="28"/>
          <w:u w:val="none"/>
          <w:lang w:eastAsia="en-US" w:bidi="en-US"/>
        </w:rPr>
        <w:t>от «___» _______ № _____</w:t>
      </w:r>
    </w:p>
    <w:p>
      <w:pPr>
        <w:pStyle w:val="Normal"/>
        <w:bidi w:val="0"/>
        <w:spacing w:lineRule="auto" w:line="240" w:before="0" w:after="0"/>
        <w:ind w:left="5387"/>
        <w:jc w:val="left"/>
        <w:rPr>
          <w:rFonts w:ascii="Times New Roman" w:hAnsi="Times New Roman" w:eastAsia="Times New Roman"/>
          <w:color w:val="404040"/>
          <w:sz w:val="28"/>
          <w:szCs w:val="28"/>
          <w:u w:val="single"/>
          <w:lang w:eastAsia="en-US" w:bidi="en-US"/>
        </w:rPr>
      </w:pPr>
      <w:r>
        <w:rPr>
          <w:rFonts w:eastAsia="Times New Roman"/>
          <w:color w:val="404040"/>
          <w:sz w:val="28"/>
          <w:szCs w:val="28"/>
          <w:u w:val="single"/>
          <w:lang w:eastAsia="en-US" w:bidi="en-US"/>
        </w:rPr>
      </w:r>
    </w:p>
    <w:p>
      <w:pPr>
        <w:pStyle w:val="121"/>
        <w:bidi w:val="0"/>
        <w:ind w:hanging="0"/>
        <w:jc w:val="center"/>
        <w:rPr>
          <w:b w:val="false"/>
          <w:bCs w:val="false"/>
        </w:rPr>
      </w:pPr>
      <w:r>
        <w:rPr>
          <w:b w:val="false"/>
          <w:bCs w:val="false"/>
        </w:rPr>
        <w:t>Порядок передачи от медицинской организации</w:t>
      </w:r>
    </w:p>
    <w:p>
      <w:pPr>
        <w:pStyle w:val="121"/>
        <w:bidi w:val="0"/>
        <w:ind w:hanging="0"/>
        <w:jc w:val="center"/>
        <w:rPr>
          <w:b w:val="false"/>
          <w:bCs w:val="false"/>
        </w:rPr>
      </w:pPr>
      <w:r>
        <w:rPr>
          <w:b w:val="false"/>
          <w:bCs w:val="false"/>
        </w:rPr>
        <w:t>пациенту (его законному представителю) медицинских изделий, предназначенных для поддержания функций</w:t>
      </w:r>
    </w:p>
    <w:p>
      <w:pPr>
        <w:pStyle w:val="121"/>
        <w:bidi w:val="0"/>
        <w:spacing w:before="0" w:after="300"/>
        <w:ind w:hanging="0"/>
        <w:jc w:val="center"/>
        <w:rPr>
          <w:b w:val="false"/>
          <w:bCs w:val="false"/>
        </w:rPr>
      </w:pPr>
      <w:r>
        <w:rPr>
          <w:b w:val="false"/>
          <w:bCs w:val="false"/>
        </w:rPr>
        <w:t>органов и систем организма человека, для использования на дому при оказании паллиативной медицинской помощи</w:t>
      </w:r>
    </w:p>
    <w:p>
      <w:pPr>
        <w:pStyle w:val="121"/>
        <w:numPr>
          <w:ilvl w:val="0"/>
          <w:numId w:val="2"/>
        </w:numPr>
        <w:tabs>
          <w:tab w:val="clear" w:pos="708"/>
          <w:tab w:val="left" w:pos="870" w:leader="none"/>
        </w:tabs>
        <w:bidi w:val="0"/>
        <w:ind w:firstLine="540"/>
        <w:jc w:val="both"/>
        <w:rPr/>
      </w:pPr>
      <w:r>
        <w:rPr/>
        <w:t xml:space="preserve">Настоящий Порядок устанавливает правила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(далее </w:t>
      </w:r>
      <w:r>
        <w:rPr>
          <w:rFonts w:eastAsia="Times New Roman" w:cs="Times New Roman"/>
        </w:rPr>
        <w:t>–</w:t>
      </w:r>
      <w:r>
        <w:rPr/>
        <w:t xml:space="preserve"> медицинское изделие), за исключением медицинских изделий, относящихся к техническим средствам реабилитации и предоставляемых пациенту в соответствии с законодательством о социальной защите инвалидов в Российской Федерации.</w:t>
      </w:r>
    </w:p>
    <w:p>
      <w:pPr>
        <w:pStyle w:val="121"/>
        <w:numPr>
          <w:ilvl w:val="0"/>
          <w:numId w:val="2"/>
        </w:numPr>
        <w:tabs>
          <w:tab w:val="clear" w:pos="708"/>
          <w:tab w:val="left" w:pos="865" w:leader="none"/>
        </w:tabs>
        <w:bidi w:val="0"/>
        <w:ind w:firstLine="540"/>
        <w:jc w:val="both"/>
        <w:rPr/>
      </w:pPr>
      <w:r>
        <w:rPr/>
        <w:t>Решение о передаче пациенту (его законному представителю) медицинских изделий принимается врачебной комиссией медицинской организации, в которой пациент получает (или будет получать) паллиативную медицинскую помощь в амбулаторных условиях, на основании заключения лечащего врача, выявившего медицинские показания для использования медицинского изделия на дому и(или) получившего сведения о пациенте из других медицинских учреждений.</w:t>
      </w:r>
    </w:p>
    <w:p>
      <w:pPr>
        <w:pStyle w:val="121"/>
        <w:bidi w:val="0"/>
        <w:ind w:firstLine="540"/>
        <w:jc w:val="both"/>
        <w:rPr/>
      </w:pPr>
      <w:r>
        <w:rPr/>
        <w:t>Данное заключение должно быть оформлено в медицинской документации пациента.</w:t>
      </w:r>
    </w:p>
    <w:p>
      <w:pPr>
        <w:pStyle w:val="121"/>
        <w:numPr>
          <w:ilvl w:val="0"/>
          <w:numId w:val="2"/>
        </w:numPr>
        <w:tabs>
          <w:tab w:val="clear" w:pos="708"/>
          <w:tab w:val="left" w:pos="865" w:leader="none"/>
        </w:tabs>
        <w:bidi w:val="0"/>
        <w:ind w:firstLine="540"/>
        <w:jc w:val="both"/>
        <w:rPr/>
      </w:pPr>
      <w:r>
        <w:rPr/>
        <w:t>К заключению лечащего врача, указанному в пункте 2 настоящего Порядка, прилагается информированное добровольное согласие пациента (его законного представителя) на медицинское вмешательство (далее - информированное добровольное согласие), а также анкета о состоянии домашних условий пациента (приложение к настоящему Порядку), заполняемая и прилагаемая к заключению  в случае передачи медицинского изделия (далее - анкета).</w:t>
      </w:r>
    </w:p>
    <w:p>
      <w:pPr>
        <w:pStyle w:val="121"/>
        <w:bidi w:val="0"/>
        <w:ind w:firstLine="540"/>
        <w:jc w:val="both"/>
        <w:rPr/>
      </w:pPr>
      <w:r>
        <w:rPr/>
        <w:t>Отказ пациента (его законного представителя) от заполнения и подписания информированного добровольного согласия и анкеты (при необходимости) фиксируется в медицинской документации пациента.</w:t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701" w:right="567" w:gutter="0" w:header="850" w:top="1190" w:footer="0" w:bottom="1134"/>
          <w:pgNumType w:start="1" w:fmt="decimal"/>
          <w:formProt w:val="false"/>
          <w:titlePg/>
          <w:textDirection w:val="lrTb"/>
        </w:sectPr>
        <w:pStyle w:val="121"/>
        <w:numPr>
          <w:ilvl w:val="0"/>
          <w:numId w:val="2"/>
        </w:numPr>
        <w:tabs>
          <w:tab w:val="clear" w:pos="708"/>
          <w:tab w:val="left" w:pos="870" w:leader="none"/>
        </w:tabs>
        <w:bidi w:val="0"/>
        <w:ind w:firstLine="540"/>
        <w:jc w:val="both"/>
        <w:rPr/>
      </w:pPr>
      <w:r>
        <w:rPr/>
        <w:t xml:space="preserve">Решение о передаче пациенту (его законному представителю) медицинских изделий принимается врачебной комиссией медицинской организации в течение трех рабочих дней со дня поступления документов, указанных в абзаце первом пункта 3 настоящего Порядка, оформляется в медицинской </w:t>
      </w:r>
    </w:p>
    <w:p>
      <w:pPr>
        <w:pStyle w:val="121"/>
        <w:numPr>
          <w:ilvl w:val="0"/>
          <w:numId w:val="2"/>
        </w:numPr>
        <w:tabs>
          <w:tab w:val="clear" w:pos="708"/>
          <w:tab w:val="left" w:pos="870" w:leader="none"/>
        </w:tabs>
        <w:bidi w:val="0"/>
        <w:ind w:firstLine="540"/>
        <w:jc w:val="both"/>
        <w:rPr/>
      </w:pPr>
      <w:r>
        <w:rPr/>
        <w:t>документации пациента и направляется в структурное подразделение медицинской организации, обеспечивающей организацию передачи пациенту (его законному представителю) медицинского изделия.</w:t>
      </w:r>
    </w:p>
    <w:p>
      <w:pPr>
        <w:pStyle w:val="121"/>
        <w:numPr>
          <w:ilvl w:val="0"/>
          <w:numId w:val="2"/>
        </w:numPr>
        <w:tabs>
          <w:tab w:val="clear" w:pos="708"/>
          <w:tab w:val="left" w:pos="870" w:leader="none"/>
        </w:tabs>
        <w:bidi w:val="0"/>
        <w:ind w:firstLine="540"/>
        <w:jc w:val="both"/>
        <w:rPr/>
      </w:pPr>
      <w:r>
        <w:rPr/>
        <w:t>Передача медицинской организацией пациенту (его законному представителю) медицинских изделий осуществляется в течение пяти рабочих дней с даты принятия решения, указанного в пункте 4 настоящего Порядка, на основании договора, заключаемого в соответствии с гражданским законодательством Российской Федерации.</w:t>
      </w:r>
    </w:p>
    <w:p>
      <w:pPr>
        <w:pStyle w:val="121"/>
        <w:numPr>
          <w:ilvl w:val="0"/>
          <w:numId w:val="2"/>
        </w:numPr>
        <w:tabs>
          <w:tab w:val="clear" w:pos="708"/>
          <w:tab w:val="left" w:pos="1135" w:leader="none"/>
        </w:tabs>
        <w:bidi w:val="0"/>
        <w:ind w:firstLine="425" w:left="142"/>
        <w:jc w:val="both"/>
        <w:rPr/>
      </w:pPr>
      <w:r>
        <w:rPr/>
        <w:t>При передаче пациенту, нуждающемуся в длительной респираторной поддержке (его законному представителю), аппарата ИВЛ обеспечивается передача второго аппарата ИВЛ в случае неспособности пациента (его законного предс</w:t>
      </w:r>
      <w:bookmarkStart w:id="16" w:name="_GoBack"/>
      <w:r>
        <w:rPr/>
        <w:t>т</w:t>
      </w:r>
      <w:bookmarkEnd w:id="16"/>
      <w:r>
        <w:rPr/>
        <w:t>авителя, родственников, иных лиц, осуществляющих уход за пациентом) поддерживать спонтанную вентиляцию легких у пациента в течение 2-4 часов.</w:t>
      </w:r>
    </w:p>
    <w:sectPr>
      <w:headerReference w:type="default" r:id="rId8"/>
      <w:headerReference w:type="first" r:id="rId9"/>
      <w:type w:val="nextPage"/>
      <w:pgSz w:w="11906" w:h="16838"/>
      <w:pgMar w:left="1701" w:right="567" w:gutter="0" w:header="1134" w:top="155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ymbol">
    <w:charset w:val="01"/>
    <w:family w:val="roman"/>
    <w:pitch w:val="variable"/>
  </w:font>
  <w:font w:name="Open Sans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12" w:name="PageNumWizard_HEADER_Первая_страница2"/>
    <w:bookmarkEnd w:id="12"/>
    <w:r>
      <w:rPr/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15" w:name="PageNumWizard_HEADER_Первая_страница1_Ко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15"/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17" w:name="PageNumWizard_HEADER_Первая_страница2"/>
    <w:bookmarkEnd w:id="17"/>
    <w:r>
      <w:rPr/>
      <w:t>2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rFonts w:eastAsia="Times New Roman"/>
    </w:rPr>
  </w:style>
  <w:style w:type="character" w:styleId="WW8Num1z0">
    <w:name w:val="WW8Num1z0"/>
    <w:qFormat/>
    <w:rPr/>
  </w:style>
  <w:style w:type="character" w:styleId="WW8Num3z0">
    <w:name w:val="WW8Num3z0"/>
    <w:qFormat/>
    <w:rPr>
      <w:rFonts w:ascii="Symbol" w:hAnsi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position w:val="0"/>
      <w:sz w:val="24"/>
      <w:sz w:val="24"/>
      <w:szCs w:val="24"/>
      <w:u w:val="none"/>
      <w:vertAlign w:val="baseline"/>
      <w:lang w:val="ru-RU"/>
    </w:rPr>
  </w:style>
  <w:style w:type="character" w:styleId="WW8Num4z0">
    <w:name w:val="WW8Num4z0"/>
    <w:qFormat/>
    <w:rPr>
      <w:rFonts w:ascii="Times New Roman" w:hAnsi="Times New Roman" w:eastAsia="Calibri" w:cs="Times New Roman"/>
    </w:rPr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bidi="ru-RU"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rFonts w:eastAsia="Times New Roman"/>
    </w:rPr>
  </w:style>
  <w:style w:type="character" w:styleId="Style13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1">
    <w:name w:val="Основной текст1"/>
    <w:qFormat/>
    <w:rPr>
      <w:rFonts w:ascii="Times New Roman" w:hAnsi="Times New Roman" w:eastAsia="Times New Roman" w:cs="Times New Roman"/>
      <w:color w:val="000000"/>
      <w:spacing w:val="6"/>
      <w:w w:val="100"/>
      <w:position w:val="0"/>
      <w:sz w:val="24"/>
      <w:sz w:val="24"/>
      <w:szCs w:val="24"/>
      <w:shd w:fill="FFFFFF" w:val="clear"/>
      <w:vertAlign w:val="baseline"/>
      <w:lang w:val="ru-RU"/>
    </w:rPr>
  </w:style>
  <w:style w:type="character" w:styleId="Style14">
    <w:name w:val="Основной текст_"/>
    <w:qFormat/>
    <w:rPr>
      <w:spacing w:val="6"/>
      <w:shd w:fill="FFFFFF" w:val="clear"/>
    </w:rPr>
  </w:style>
  <w:style w:type="character" w:styleId="3pt">
    <w:name w:val="Основной текст + Интервал 3 pt"/>
    <w:qFormat/>
    <w:rPr>
      <w:rFonts w:ascii="Times New Roman" w:hAnsi="Times New Roman" w:eastAsia="Times New Roman" w:cs="Times New Roman"/>
      <w:color w:val="000000"/>
      <w:spacing w:val="71"/>
      <w:w w:val="100"/>
      <w:position w:val="0"/>
      <w:sz w:val="24"/>
      <w:sz w:val="24"/>
      <w:szCs w:val="24"/>
      <w:shd w:fill="FFFFFF" w:val="clear"/>
      <w:vertAlign w:val="baseline"/>
      <w:lang w:val="ru-RU"/>
    </w:rPr>
  </w:style>
  <w:style w:type="character" w:styleId="2">
    <w:name w:val="Основной текст (2)_"/>
    <w:qFormat/>
    <w:rPr>
      <w:sz w:val="28"/>
      <w:szCs w:val="28"/>
      <w:shd w:fill="FFFFFF" w:val="clear"/>
    </w:rPr>
  </w:style>
  <w:style w:type="character" w:styleId="11">
    <w:name w:val="Заголовок 1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2">
    <w:name w:val=" Знак Знак Знак1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21">
    <w:name w:val="Знак Знак Знак Знак Знак"/>
    <w:basedOn w:val="Normal"/>
    <w:qFormat/>
    <w:pPr/>
    <w:rPr>
      <w:rFonts w:ascii="Verdana" w:hAnsi="Verdana" w:cs="Verdana"/>
      <w:sz w:val="20"/>
      <w:szCs w:val="20"/>
      <w:lang w:val="uk-UA"/>
    </w:rPr>
  </w:style>
  <w:style w:type="paragraph" w:styleId="CharCharCharChar">
    <w:name w:val="Char Знак Знак Char Знак Знак Char Знак Знак Char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4">
    <w:name w:val="Основной текст4"/>
    <w:basedOn w:val="Normal"/>
    <w:qFormat/>
    <w:pPr>
      <w:widowControl w:val="false"/>
      <w:shd w:val="clear" w:fill="FFFFFF"/>
      <w:spacing w:lineRule="exact" w:line="341" w:before="720" w:after="240"/>
      <w:ind w:hanging="2140" w:left="0" w:right="0"/>
      <w:jc w:val="both"/>
    </w:pPr>
    <w:rPr>
      <w:spacing w:val="6"/>
      <w:sz w:val="20"/>
      <w:szCs w:val="20"/>
    </w:rPr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exact" w:line="648" w:before="240" w:after="120"/>
      <w:ind w:hanging="1180" w:left="0" w:right="0"/>
    </w:pPr>
    <w:rPr>
      <w:sz w:val="28"/>
      <w:szCs w:val="28"/>
    </w:rPr>
  </w:style>
  <w:style w:type="paragraph" w:styleId="Formattext">
    <w:name w:val="formattext"/>
    <w:basedOn w:val="Normal"/>
    <w:qFormat/>
    <w:pPr>
      <w:spacing w:before="280" w:after="280"/>
    </w:pPr>
    <w:rPr/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5">
    <w:name w:val="Подпись к таблице"/>
    <w:basedOn w:val="Normal"/>
    <w:qFormat/>
    <w:pPr/>
    <w:rPr>
      <w:rFonts w:ascii="Times New Roman" w:hAnsi="Times New Roman" w:eastAsia="Times New Roman" w:cs="Times New Roman"/>
      <w:sz w:val="28"/>
      <w:szCs w:val="28"/>
    </w:rPr>
  </w:style>
  <w:style w:type="paragraph" w:styleId="111">
    <w:name w:val="Основной текст11"/>
    <w:basedOn w:val="Normal"/>
    <w:qFormat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21">
    <w:name w:val="Основной текст12"/>
    <w:basedOn w:val="Normal"/>
    <w:qFormat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3289</TotalTime>
  <Application>LibreOffice/7.6.7.2$Linux_X86_64 LibreOffice_project/60$Build-2</Application>
  <AppVersion>15.0000</AppVersion>
  <Pages>6</Pages>
  <Words>975</Words>
  <Characters>7352</Characters>
  <CharactersWithSpaces>8763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2022-03-09T21:13:00Z</dcterms:created>
  <dc:creator>Оксана</dc:creator>
  <dc:description/>
  <dc:language>ru-RU</dc:language>
  <cp:lastModifiedBy/>
  <cp:lastPrinted>2026-06-10T11:34:01Z</cp:lastPrinted>
  <dcterms:modified xsi:type="dcterms:W3CDTF">2026-07-03T11:07:17Z</dcterms:modified>
  <cp:revision>89</cp:revision>
  <dc:subject/>
  <dc:title>СЕВАСТОПОЛЬСЬКА МІСЬКА ДЕРЖАВНА АДМІНІСТРАЦІЯ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ection">
    <vt:lpwstr>UkrRus**_x0000__x0000__x0000_</vt:lpwstr>
  </property>
  <property fmtid="{D5CDD505-2E9C-101B-9397-08002B2CF9AE}" pid="3" name="Translated">
    <vt:bool>1</vt:bool>
  </property>
</Properties>
</file>